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DA4774" w:rsidR="00B204E1" w:rsidP="00F70359" w:rsidRDefault="00B204E1" w14:paraId="642BC01D" w14:textId="0596124F">
      <w:pPr>
        <w:spacing w:after="0" w:line="240" w:lineRule="auto"/>
        <w:contextualSpacing/>
        <w:jc w:val="center"/>
        <w:rPr>
          <w:b/>
          <w:bCs/>
          <w:sz w:val="28"/>
          <w:szCs w:val="28"/>
        </w:rPr>
      </w:pPr>
      <w:r w:rsidRPr="00DA4774">
        <w:rPr>
          <w:b/>
          <w:bCs/>
          <w:sz w:val="28"/>
          <w:szCs w:val="28"/>
        </w:rPr>
        <w:t>General Institutional Preconditions</w:t>
      </w:r>
    </w:p>
    <w:p w:rsidRPr="00DA4774" w:rsidR="00B204E1" w:rsidP="00F70359" w:rsidRDefault="00B204E1" w14:paraId="7D75F78A" w14:textId="1DACB485">
      <w:pPr>
        <w:spacing w:after="0" w:line="240" w:lineRule="auto"/>
        <w:contextualSpacing/>
      </w:pPr>
    </w:p>
    <w:p w:rsidRPr="00F70359" w:rsidR="00B204E1" w:rsidP="00F70359" w:rsidRDefault="00B204E1" w14:paraId="31A675A0" w14:textId="77777777">
      <w:pPr>
        <w:spacing w:after="0" w:line="240" w:lineRule="auto"/>
        <w:contextualSpacing/>
        <w:rPr>
          <w:rFonts w:ascii="Aptos" w:hAnsi="Aptos"/>
          <w:i/>
          <w:iCs/>
          <w:sz w:val="20"/>
          <w:szCs w:val="20"/>
        </w:rPr>
      </w:pPr>
      <w:r w:rsidRPr="00F70359">
        <w:rPr>
          <w:rFonts w:ascii="Aptos" w:hAnsi="Aptos"/>
          <w:b/>
          <w:bCs/>
          <w:i/>
          <w:iCs/>
          <w:sz w:val="20"/>
          <w:szCs w:val="20"/>
          <w:u w:val="single"/>
        </w:rPr>
        <w:t>General Statement Applicable to all Preconditions for all Educator Preparation Programs</w:t>
      </w:r>
    </w:p>
    <w:p w:rsidRPr="00F70359" w:rsidR="00B204E1" w:rsidP="00F70359" w:rsidRDefault="00B204E1" w14:paraId="59FB44C7" w14:textId="14AF8048">
      <w:pPr>
        <w:spacing w:after="0" w:line="240" w:lineRule="auto"/>
        <w:contextualSpacing/>
        <w:rPr>
          <w:rFonts w:ascii="Aptos" w:hAnsi="Aptos"/>
          <w:i/>
          <w:iCs/>
          <w:sz w:val="20"/>
          <w:szCs w:val="20"/>
        </w:rPr>
      </w:pPr>
      <w:r w:rsidRPr="00F70359">
        <w:rPr>
          <w:rFonts w:ascii="Aptos" w:hAnsi="Aptos"/>
          <w:i/>
          <w:iCs/>
          <w:sz w:val="20"/>
          <w:szCs w:val="20"/>
        </w:rPr>
        <w:t>Pursuant to Education Code Section 44227 (and 44265 where applicable for Education Specialist Program) each program of professional preparation that leads to a teaching or services credential shall adhere continually to the following requirements of California State Law or Commission Policy. Each institution must respond to the general preconditions as well as all other applicable program specific preconditions.</w:t>
      </w:r>
    </w:p>
    <w:p w:rsidRPr="00F70359" w:rsidR="00B204E1" w:rsidP="00F70359" w:rsidRDefault="00B204E1" w14:paraId="344A0C01" w14:textId="77777777">
      <w:pPr>
        <w:spacing w:after="0" w:line="240" w:lineRule="auto"/>
        <w:contextualSpacing/>
        <w:rPr>
          <w:rFonts w:ascii="Aptos" w:hAnsi="Aptos"/>
          <w:sz w:val="20"/>
          <w:szCs w:val="20"/>
        </w:rPr>
      </w:pPr>
    </w:p>
    <w:p w:rsidRPr="00F70359" w:rsidR="30CB0B76" w:rsidP="00F70359" w:rsidRDefault="30CB0B76" w14:paraId="7A144AAB" w14:textId="20D5546D">
      <w:pPr>
        <w:pStyle w:val="ListParagraph"/>
        <w:numPr>
          <w:ilvl w:val="0"/>
          <w:numId w:val="3"/>
        </w:numPr>
        <w:spacing w:after="0" w:line="240" w:lineRule="auto"/>
        <w:rPr>
          <w:rFonts w:ascii="Aptos" w:hAnsi="Aptos"/>
          <w:b/>
          <w:bCs/>
          <w:sz w:val="22"/>
          <w:szCs w:val="22"/>
        </w:rPr>
      </w:pPr>
      <w:r w:rsidRPr="00F70359">
        <w:rPr>
          <w:rFonts w:ascii="Aptos" w:hAnsi="Aptos"/>
          <w:b/>
          <w:bCs/>
          <w:sz w:val="22"/>
          <w:szCs w:val="22"/>
        </w:rPr>
        <w:t>Accreditation and Academic Credit</w:t>
      </w:r>
    </w:p>
    <w:p w:rsidRPr="00F70359" w:rsidR="30CB0B76" w:rsidP="00F70359" w:rsidRDefault="727502B7" w14:paraId="1FA94A8F" w14:textId="36BAEE0A">
      <w:pPr>
        <w:spacing w:after="0" w:line="240" w:lineRule="auto"/>
        <w:contextualSpacing/>
        <w:rPr>
          <w:rFonts w:ascii="Aptos" w:hAnsi="Aptos" w:eastAsiaTheme="minorEastAsia"/>
          <w:i/>
          <w:iCs/>
          <w:sz w:val="20"/>
          <w:szCs w:val="20"/>
        </w:rPr>
      </w:pPr>
      <w:r w:rsidRPr="00F70359">
        <w:rPr>
          <w:rFonts w:ascii="Aptos" w:hAnsi="Aptos" w:eastAsiaTheme="minorEastAsia"/>
          <w:i/>
          <w:iCs/>
          <w:sz w:val="20"/>
          <w:szCs w:val="20"/>
        </w:rPr>
        <w:t>The program(s) must be operated by</w:t>
      </w:r>
    </w:p>
    <w:p w:rsidRPr="00F70359" w:rsidR="11111512" w:rsidP="00F70359" w:rsidRDefault="11111512" w14:paraId="67531983" w14:textId="7BAC8667">
      <w:pPr>
        <w:spacing w:after="0" w:line="240" w:lineRule="auto"/>
        <w:contextualSpacing/>
        <w:rPr>
          <w:rFonts w:ascii="Aptos" w:hAnsi="Aptos" w:eastAsiaTheme="minorEastAsia"/>
          <w:i/>
          <w:iCs/>
          <w:sz w:val="20"/>
          <w:szCs w:val="20"/>
        </w:rPr>
      </w:pPr>
    </w:p>
    <w:p w:rsidRPr="00F70359" w:rsidR="30CB0B76" w:rsidP="00F70359" w:rsidRDefault="727502B7" w14:paraId="74B51796" w14:textId="57182C71">
      <w:pPr>
        <w:numPr>
          <w:ilvl w:val="0"/>
          <w:numId w:val="5"/>
        </w:numPr>
        <w:spacing w:after="0" w:line="240" w:lineRule="auto"/>
        <w:ind w:left="360"/>
        <w:contextualSpacing/>
        <w:rPr>
          <w:rFonts w:ascii="Aptos" w:hAnsi="Aptos" w:eastAsiaTheme="minorEastAsia"/>
          <w:i/>
          <w:iCs/>
          <w:sz w:val="20"/>
          <w:szCs w:val="20"/>
        </w:rPr>
      </w:pPr>
      <w:r w:rsidRPr="00F70359">
        <w:rPr>
          <w:rFonts w:ascii="Aptos" w:hAnsi="Aptos" w:eastAsiaTheme="minorEastAsia"/>
          <w:b/>
          <w:bCs/>
          <w:i/>
          <w:iCs/>
          <w:sz w:val="20"/>
          <w:szCs w:val="20"/>
        </w:rPr>
        <w:t>Institutions of higher education:</w:t>
      </w:r>
      <w:r w:rsidRPr="00F70359">
        <w:rPr>
          <w:rFonts w:ascii="Aptos" w:hAnsi="Aptos" w:eastAsiaTheme="minorEastAsia"/>
          <w:i/>
          <w:iCs/>
          <w:sz w:val="20"/>
          <w:szCs w:val="20"/>
        </w:rPr>
        <w:t> A college or university that (</w:t>
      </w:r>
      <w:proofErr w:type="spellStart"/>
      <w:r w:rsidRPr="00F70359">
        <w:rPr>
          <w:rFonts w:ascii="Aptos" w:hAnsi="Aptos" w:eastAsiaTheme="minorEastAsia"/>
          <w:i/>
          <w:iCs/>
          <w:sz w:val="20"/>
          <w:szCs w:val="20"/>
        </w:rPr>
        <w:t>i</w:t>
      </w:r>
      <w:proofErr w:type="spellEnd"/>
      <w:r w:rsidRPr="00F70359">
        <w:rPr>
          <w:rFonts w:ascii="Aptos" w:hAnsi="Aptos" w:eastAsiaTheme="minorEastAsia"/>
          <w:i/>
          <w:iCs/>
          <w:sz w:val="20"/>
          <w:szCs w:val="20"/>
        </w:rPr>
        <w:t>) is fully accredited by the Western Association of Schools and Colleges or another of the six regional accrediting associations, and (ii) grants baccalaureate academic credit or post baccalaureate academic credit, or both. An institution approved to offer educator preparation in California must notify the Commission within 30 days if its regional accreditation status changes. </w:t>
      </w:r>
    </w:p>
    <w:tbl>
      <w:tblPr>
        <w:tblStyle w:val="TableGrid"/>
        <w:tblpPr w:leftFromText="180" w:rightFromText="180" w:vertAnchor="text" w:horzAnchor="margin" w:tblpX="355" w:tblpY="92"/>
        <w:tblW w:w="0" w:type="auto"/>
        <w:tblLook w:val="04A0" w:firstRow="1" w:lastRow="0" w:firstColumn="1" w:lastColumn="0" w:noHBand="0" w:noVBand="1"/>
      </w:tblPr>
      <w:tblGrid>
        <w:gridCol w:w="8995"/>
      </w:tblGrid>
      <w:tr w:rsidRPr="00F70359" w:rsidR="00DA4774" w:rsidTr="00DA4774" w14:paraId="04CEA77A" w14:textId="77777777">
        <w:tc>
          <w:tcPr>
            <w:tcW w:w="8995" w:type="dxa"/>
          </w:tcPr>
          <w:p w:rsidRPr="00F70359" w:rsidR="00DA4774" w:rsidP="00F70359" w:rsidRDefault="00DA4774" w14:paraId="180CB93E" w14:textId="77777777">
            <w:pPr>
              <w:contextualSpacing/>
              <w:rPr>
                <w:rFonts w:ascii="Aptos" w:hAnsi="Aptos"/>
                <w:sz w:val="20"/>
                <w:szCs w:val="20"/>
              </w:rPr>
            </w:pPr>
            <w:r w:rsidRPr="00F70359">
              <w:rPr>
                <w:rFonts w:ascii="Aptos" w:hAnsi="Aptos"/>
                <w:i/>
                <w:iCs/>
                <w:sz w:val="20"/>
                <w:szCs w:val="20"/>
              </w:rPr>
              <w:t>Examples of </w:t>
            </w:r>
            <w:r w:rsidRPr="00F70359">
              <w:rPr>
                <w:rFonts w:ascii="Aptos" w:hAnsi="Aptos"/>
                <w:b/>
                <w:bCs/>
                <w:i/>
                <w:iCs/>
                <w:sz w:val="20"/>
                <w:szCs w:val="20"/>
              </w:rPr>
              <w:t>Acceptable </w:t>
            </w:r>
            <w:r w:rsidRPr="00F70359">
              <w:rPr>
                <w:rFonts w:ascii="Aptos" w:hAnsi="Aptos"/>
                <w:i/>
                <w:iCs/>
                <w:sz w:val="20"/>
                <w:szCs w:val="20"/>
              </w:rPr>
              <w:t>Evidence</w:t>
            </w:r>
          </w:p>
          <w:p w:rsidRPr="00F70359" w:rsidR="00DA4774" w:rsidP="00F70359" w:rsidRDefault="00DA4774" w14:paraId="3B2B3CF7" w14:textId="77777777">
            <w:pPr>
              <w:numPr>
                <w:ilvl w:val="0"/>
                <w:numId w:val="10"/>
              </w:numPr>
              <w:contextualSpacing/>
              <w:rPr>
                <w:rFonts w:ascii="Aptos" w:hAnsi="Aptos"/>
                <w:sz w:val="20"/>
                <w:szCs w:val="20"/>
              </w:rPr>
            </w:pPr>
            <w:r w:rsidRPr="00F70359">
              <w:rPr>
                <w:rFonts w:ascii="Aptos" w:hAnsi="Aptos"/>
                <w:sz w:val="20"/>
                <w:szCs w:val="20"/>
              </w:rPr>
              <w:t>Copy of most recent letter from WASC Senior or one of the other federally recognized accrediting bodies.</w:t>
            </w:r>
          </w:p>
        </w:tc>
      </w:tr>
    </w:tbl>
    <w:p w:rsidRPr="00F70359" w:rsidR="34D453F3" w:rsidP="00F70359" w:rsidRDefault="34D453F3" w14:paraId="69755516" w14:textId="0FB31A79">
      <w:pPr>
        <w:spacing w:after="0" w:line="240" w:lineRule="auto"/>
        <w:ind w:left="1080"/>
        <w:contextualSpacing/>
        <w:rPr>
          <w:rFonts w:ascii="Aptos" w:hAnsi="Aptos" w:eastAsiaTheme="minorEastAsia"/>
          <w:sz w:val="20"/>
          <w:szCs w:val="20"/>
        </w:rPr>
      </w:pPr>
    </w:p>
    <w:p w:rsidR="002A54CC" w:rsidP="002A54CC" w:rsidRDefault="002A54CC" w14:paraId="3C797ADD" w14:textId="77777777">
      <w:pPr>
        <w:spacing w:after="0" w:line="240" w:lineRule="auto"/>
        <w:ind w:left="720"/>
        <w:contextualSpacing/>
        <w:rPr>
          <w:rFonts w:ascii="Aptos" w:hAnsi="Aptos" w:eastAsiaTheme="minorEastAsia"/>
          <w:sz w:val="20"/>
          <w:szCs w:val="20"/>
        </w:rPr>
      </w:pPr>
      <w:r w:rsidRPr="002A54CC">
        <w:rPr>
          <w:rFonts w:ascii="Aptos" w:hAnsi="Aptos" w:eastAsiaTheme="minorEastAsia"/>
          <w:sz w:val="20"/>
          <w:szCs w:val="20"/>
        </w:rPr>
        <w:t>The University of La Verne is a regionally accredited institution of higher education and grants both baccalaureate and post-baccalaureate academic credit. The University is fully accredited by the Western Association of Schools and Colleges (WASC) Senior College and University Commission (WSCUC), a federally recognized accrediting body.</w:t>
      </w:r>
    </w:p>
    <w:p w:rsidRPr="002A54CC" w:rsidR="002A54CC" w:rsidP="002A54CC" w:rsidRDefault="002A54CC" w14:paraId="23811FAD" w14:textId="77777777">
      <w:pPr>
        <w:spacing w:after="0" w:line="240" w:lineRule="auto"/>
        <w:ind w:left="720"/>
        <w:contextualSpacing/>
        <w:rPr>
          <w:rFonts w:ascii="Aptos" w:hAnsi="Aptos" w:eastAsiaTheme="minorEastAsia"/>
          <w:sz w:val="20"/>
          <w:szCs w:val="20"/>
        </w:rPr>
      </w:pPr>
    </w:p>
    <w:p w:rsidRPr="002A54CC" w:rsidR="002A54CC" w:rsidP="002A54CC" w:rsidRDefault="002A54CC" w14:paraId="1B6B3AC4" w14:textId="77777777">
      <w:pPr>
        <w:spacing w:after="0" w:line="240" w:lineRule="auto"/>
        <w:ind w:left="720"/>
        <w:contextualSpacing/>
        <w:rPr>
          <w:rFonts w:ascii="Aptos" w:hAnsi="Aptos" w:eastAsiaTheme="minorEastAsia"/>
          <w:sz w:val="20"/>
          <w:szCs w:val="20"/>
        </w:rPr>
      </w:pPr>
      <w:r w:rsidRPr="002A54CC">
        <w:rPr>
          <w:rFonts w:ascii="Aptos" w:hAnsi="Aptos" w:eastAsiaTheme="minorEastAsia"/>
          <w:sz w:val="20"/>
          <w:szCs w:val="20"/>
        </w:rPr>
        <w:t>The University of La Verne was first accredited in 1955. WASC most recently reaffirmed the University’s accreditation on November 6, 2020, for a period of eight years. The next Comprehensive Offsite Review is scheduled for fall 2027, and the next Comprehensive Accreditation Visit is scheduled for spring 2028.</w:t>
      </w:r>
    </w:p>
    <w:p w:rsidR="002A54CC" w:rsidP="002A54CC" w:rsidRDefault="002A54CC" w14:paraId="0BFFD7FB" w14:textId="77777777">
      <w:pPr>
        <w:spacing w:after="0" w:line="240" w:lineRule="auto"/>
        <w:ind w:left="720"/>
        <w:contextualSpacing/>
        <w:rPr>
          <w:rFonts w:ascii="Aptos" w:hAnsi="Aptos" w:eastAsiaTheme="minorEastAsia"/>
          <w:sz w:val="20"/>
          <w:szCs w:val="20"/>
        </w:rPr>
      </w:pPr>
    </w:p>
    <w:p w:rsidRPr="002A54CC" w:rsidR="002A54CC" w:rsidP="002A54CC" w:rsidRDefault="002A54CC" w14:paraId="7BBA39CE" w14:textId="2BA8F65B">
      <w:pPr>
        <w:spacing w:after="0" w:line="240" w:lineRule="auto"/>
        <w:ind w:left="720"/>
        <w:contextualSpacing/>
        <w:rPr>
          <w:rFonts w:ascii="Aptos" w:hAnsi="Aptos" w:eastAsiaTheme="minorEastAsia"/>
          <w:sz w:val="20"/>
          <w:szCs w:val="20"/>
        </w:rPr>
      </w:pPr>
      <w:r w:rsidRPr="002A54CC">
        <w:rPr>
          <w:rFonts w:ascii="Aptos" w:hAnsi="Aptos" w:eastAsiaTheme="minorEastAsia"/>
          <w:sz w:val="20"/>
          <w:szCs w:val="20"/>
        </w:rPr>
        <w:t>The institution maintains compliance with all accreditation requirements and will notify the Commission within 30 days of any change in accreditation status, in accordance with Commission policy.</w:t>
      </w:r>
    </w:p>
    <w:p w:rsidRPr="002A54CC" w:rsidR="002A54CC" w:rsidP="002A54CC" w:rsidRDefault="002A54CC" w14:paraId="3248946A" w14:textId="2E8C51C6">
      <w:pPr>
        <w:spacing w:after="0" w:line="240" w:lineRule="auto"/>
        <w:ind w:left="720"/>
        <w:contextualSpacing/>
        <w:rPr>
          <w:rFonts w:ascii="Aptos" w:hAnsi="Aptos" w:eastAsiaTheme="minorEastAsia"/>
          <w:sz w:val="20"/>
          <w:szCs w:val="20"/>
        </w:rPr>
      </w:pPr>
    </w:p>
    <w:p w:rsidRPr="002A54CC" w:rsidR="002A54CC" w:rsidP="002A54CC" w:rsidRDefault="002A54CC" w14:paraId="257274A9" w14:textId="77777777">
      <w:pPr>
        <w:spacing w:after="0" w:line="240" w:lineRule="auto"/>
        <w:ind w:left="720"/>
        <w:contextualSpacing/>
        <w:rPr>
          <w:rFonts w:ascii="Aptos" w:hAnsi="Aptos" w:eastAsiaTheme="minorEastAsia"/>
          <w:b/>
          <w:bCs/>
          <w:sz w:val="20"/>
          <w:szCs w:val="20"/>
        </w:rPr>
      </w:pPr>
      <w:r w:rsidRPr="002A54CC">
        <w:rPr>
          <w:rFonts w:ascii="Aptos" w:hAnsi="Aptos" w:eastAsiaTheme="minorEastAsia"/>
          <w:b/>
          <w:bCs/>
          <w:sz w:val="20"/>
          <w:szCs w:val="20"/>
        </w:rPr>
        <w:t>Evidence:</w:t>
      </w:r>
    </w:p>
    <w:p w:rsidR="002A54CC" w:rsidP="002A54CC" w:rsidRDefault="002A54CC" w14:paraId="32F23C2E" w14:textId="0253EB18">
      <w:pPr>
        <w:numPr>
          <w:ilvl w:val="0"/>
          <w:numId w:val="29"/>
        </w:numPr>
        <w:tabs>
          <w:tab w:val="clear" w:pos="720"/>
          <w:tab w:val="num" w:pos="1080"/>
        </w:tabs>
        <w:spacing w:after="0" w:line="240" w:lineRule="auto"/>
        <w:ind w:left="1080"/>
        <w:contextualSpacing/>
        <w:rPr>
          <w:rFonts w:ascii="Aptos" w:hAnsi="Aptos" w:eastAsiaTheme="minorEastAsia"/>
          <w:sz w:val="20"/>
          <w:szCs w:val="20"/>
        </w:rPr>
      </w:pPr>
      <w:r w:rsidRPr="002A54CC">
        <w:rPr>
          <w:rFonts w:ascii="Aptos" w:hAnsi="Aptos" w:eastAsiaTheme="minorEastAsia"/>
          <w:sz w:val="20"/>
          <w:szCs w:val="20"/>
        </w:rPr>
        <w:t>WSCUC Accreditation Page (University of La Verne):</w:t>
      </w:r>
      <w:r>
        <w:rPr>
          <w:rFonts w:ascii="Aptos" w:hAnsi="Aptos" w:eastAsiaTheme="minorEastAsia"/>
          <w:sz w:val="20"/>
          <w:szCs w:val="20"/>
        </w:rPr>
        <w:t xml:space="preserve"> </w:t>
      </w:r>
      <w:hyperlink w:history="1" r:id="rId8">
        <w:r w:rsidRPr="002A54CC">
          <w:rPr>
            <w:rStyle w:val="Hyperlink"/>
            <w:rFonts w:ascii="Aptos" w:hAnsi="Aptos" w:eastAsiaTheme="minorEastAsia"/>
            <w:sz w:val="20"/>
            <w:szCs w:val="20"/>
          </w:rPr>
          <w:t>https://www.wscuc.org/institutions/university-of-la-verne/</w:t>
        </w:r>
      </w:hyperlink>
    </w:p>
    <w:p w:rsidRPr="002A54CC" w:rsidR="00DA4774" w:rsidP="002A54CC" w:rsidRDefault="002A54CC" w14:paraId="721AF34D" w14:textId="426BD957">
      <w:pPr>
        <w:numPr>
          <w:ilvl w:val="0"/>
          <w:numId w:val="29"/>
        </w:numPr>
        <w:tabs>
          <w:tab w:val="clear" w:pos="720"/>
          <w:tab w:val="num" w:pos="1080"/>
        </w:tabs>
        <w:spacing w:after="0" w:line="240" w:lineRule="auto"/>
        <w:ind w:left="1080"/>
        <w:contextualSpacing/>
        <w:rPr>
          <w:rFonts w:ascii="Aptos" w:hAnsi="Aptos" w:eastAsiaTheme="minorEastAsia"/>
          <w:sz w:val="20"/>
          <w:szCs w:val="20"/>
        </w:rPr>
      </w:pPr>
      <w:r w:rsidRPr="002A54CC">
        <w:rPr>
          <w:rFonts w:ascii="Aptos" w:hAnsi="Aptos" w:eastAsiaTheme="minorEastAsia"/>
          <w:sz w:val="20"/>
          <w:szCs w:val="20"/>
        </w:rPr>
        <w:t xml:space="preserve">WSCUC Accreditation </w:t>
      </w:r>
      <w:hyperlink r:id="rId9">
        <w:r w:rsidRPr="002A54CC">
          <w:rPr>
            <w:rStyle w:val="Hyperlink"/>
            <w:rFonts w:ascii="Aptos" w:hAnsi="Aptos" w:eastAsiaTheme="minorEastAsia"/>
            <w:sz w:val="20"/>
            <w:szCs w:val="20"/>
          </w:rPr>
          <w:t>L</w:t>
        </w:r>
        <w:r w:rsidRPr="002A54CC" w:rsidR="00DA4774">
          <w:rPr>
            <w:rStyle w:val="Hyperlink"/>
            <w:rFonts w:ascii="Aptos" w:hAnsi="Aptos" w:eastAsiaTheme="minorEastAsia"/>
            <w:sz w:val="20"/>
            <w:szCs w:val="20"/>
          </w:rPr>
          <w:t>et</w:t>
        </w:r>
        <w:r w:rsidRPr="002A54CC" w:rsidR="00DA4774">
          <w:rPr>
            <w:rStyle w:val="Hyperlink"/>
            <w:rFonts w:ascii="Aptos" w:hAnsi="Aptos" w:eastAsiaTheme="minorEastAsia"/>
            <w:sz w:val="20"/>
            <w:szCs w:val="20"/>
          </w:rPr>
          <w:t>t</w:t>
        </w:r>
        <w:r w:rsidRPr="002A54CC" w:rsidR="00DA4774">
          <w:rPr>
            <w:rStyle w:val="Hyperlink"/>
            <w:rFonts w:ascii="Aptos" w:hAnsi="Aptos" w:eastAsiaTheme="minorEastAsia"/>
            <w:sz w:val="20"/>
            <w:szCs w:val="20"/>
          </w:rPr>
          <w:t>er</w:t>
        </w:r>
      </w:hyperlink>
      <w:r w:rsidRPr="002A54CC" w:rsidR="00DA4774">
        <w:rPr>
          <w:rFonts w:ascii="Aptos" w:hAnsi="Aptos" w:eastAsiaTheme="minorEastAsia"/>
          <w:color w:val="A02B93" w:themeColor="accent5"/>
          <w:sz w:val="20"/>
          <w:szCs w:val="20"/>
        </w:rPr>
        <w:t>.</w:t>
      </w:r>
    </w:p>
    <w:p w:rsidRPr="00F70359" w:rsidR="00B204E1" w:rsidP="00F70359" w:rsidRDefault="00B204E1" w14:paraId="05F0350E" w14:textId="60B9EBBD">
      <w:pPr>
        <w:spacing w:after="0" w:line="240" w:lineRule="auto"/>
        <w:contextualSpacing/>
        <w:rPr>
          <w:rFonts w:ascii="Aptos" w:hAnsi="Aptos"/>
          <w:sz w:val="20"/>
          <w:szCs w:val="20"/>
        </w:rPr>
      </w:pPr>
    </w:p>
    <w:p w:rsidRPr="00F70359" w:rsidR="00B204E1" w:rsidP="00F70359" w:rsidRDefault="482F7DE4" w14:paraId="4CD335BE" w14:textId="77777777">
      <w:pPr>
        <w:spacing w:after="0" w:line="240" w:lineRule="auto"/>
        <w:contextualSpacing/>
        <w:rPr>
          <w:rFonts w:ascii="Aptos" w:hAnsi="Aptos"/>
          <w:b/>
          <w:bCs/>
          <w:sz w:val="22"/>
          <w:szCs w:val="22"/>
        </w:rPr>
      </w:pPr>
      <w:r w:rsidRPr="00F70359">
        <w:rPr>
          <w:rFonts w:ascii="Aptos" w:hAnsi="Aptos"/>
          <w:b/>
          <w:bCs/>
          <w:sz w:val="22"/>
          <w:szCs w:val="22"/>
        </w:rPr>
        <w:t>(2) Enrollment and Completion</w:t>
      </w:r>
    </w:p>
    <w:p w:rsidRPr="00F70359" w:rsidR="00B204E1" w:rsidP="00F70359" w:rsidRDefault="482F7DE4" w14:paraId="274DEFE8" w14:textId="77777777">
      <w:pPr>
        <w:spacing w:after="0" w:line="240" w:lineRule="auto"/>
        <w:ind w:left="360"/>
        <w:contextualSpacing/>
        <w:rPr>
          <w:rFonts w:ascii="Aptos" w:hAnsi="Aptos"/>
          <w:sz w:val="20"/>
          <w:szCs w:val="20"/>
        </w:rPr>
      </w:pPr>
      <w:r w:rsidRPr="00F70359">
        <w:rPr>
          <w:rFonts w:ascii="Aptos" w:hAnsi="Aptos"/>
          <w:sz w:val="20"/>
          <w:szCs w:val="20"/>
        </w:rPr>
        <w:t>Once a candidate is accepted and enrolls in an educator preparation program, the approved program sponsor must offer the approved program, meeting the adopted standards, until the candidate:</w:t>
      </w:r>
    </w:p>
    <w:p w:rsidRPr="00F70359" w:rsidR="00B204E1" w:rsidP="00F70359" w:rsidRDefault="00B204E1" w14:paraId="64C06143" w14:textId="77777777">
      <w:pPr>
        <w:spacing w:after="0" w:line="240" w:lineRule="auto"/>
        <w:ind w:left="360"/>
        <w:contextualSpacing/>
        <w:rPr>
          <w:rFonts w:ascii="Aptos" w:hAnsi="Aptos"/>
          <w:sz w:val="20"/>
          <w:szCs w:val="20"/>
        </w:rPr>
      </w:pPr>
    </w:p>
    <w:p w:rsidRPr="00F70359" w:rsidR="00B204E1" w:rsidP="00F70359" w:rsidRDefault="482F7DE4" w14:paraId="4275FAB0" w14:textId="64914D81">
      <w:pPr>
        <w:numPr>
          <w:ilvl w:val="0"/>
          <w:numId w:val="6"/>
        </w:numPr>
        <w:tabs>
          <w:tab w:val="num" w:pos="720"/>
        </w:tabs>
        <w:spacing w:after="0" w:line="240" w:lineRule="auto"/>
        <w:ind w:left="1140" w:hanging="60"/>
        <w:contextualSpacing/>
        <w:rPr>
          <w:rFonts w:ascii="Aptos" w:hAnsi="Aptos"/>
          <w:sz w:val="20"/>
          <w:szCs w:val="20"/>
        </w:rPr>
      </w:pPr>
      <w:r w:rsidRPr="00F70359">
        <w:rPr>
          <w:rFonts w:ascii="Aptos" w:hAnsi="Aptos"/>
          <w:sz w:val="20"/>
          <w:szCs w:val="20"/>
        </w:rPr>
        <w:t xml:space="preserve"> completes the </w:t>
      </w:r>
      <w:proofErr w:type="gramStart"/>
      <w:r w:rsidRPr="00F70359">
        <w:rPr>
          <w:rFonts w:ascii="Aptos" w:hAnsi="Aptos"/>
          <w:sz w:val="20"/>
          <w:szCs w:val="20"/>
        </w:rPr>
        <w:t>program;</w:t>
      </w:r>
      <w:proofErr w:type="gramEnd"/>
    </w:p>
    <w:p w:rsidRPr="00F70359" w:rsidR="00B204E1" w:rsidP="00F70359" w:rsidRDefault="482F7DE4" w14:paraId="52BAAEC2" w14:textId="35573D95">
      <w:pPr>
        <w:numPr>
          <w:ilvl w:val="0"/>
          <w:numId w:val="6"/>
        </w:numPr>
        <w:tabs>
          <w:tab w:val="num" w:pos="720"/>
        </w:tabs>
        <w:spacing w:after="0" w:line="240" w:lineRule="auto"/>
        <w:ind w:left="1140" w:hanging="60"/>
        <w:contextualSpacing/>
        <w:rPr>
          <w:rFonts w:ascii="Aptos" w:hAnsi="Aptos"/>
          <w:sz w:val="20"/>
          <w:szCs w:val="20"/>
        </w:rPr>
      </w:pPr>
      <w:r w:rsidRPr="00F70359">
        <w:rPr>
          <w:rFonts w:ascii="Aptos" w:hAnsi="Aptos"/>
          <w:sz w:val="20"/>
          <w:szCs w:val="20"/>
        </w:rPr>
        <w:t xml:space="preserve"> withdraws from the </w:t>
      </w:r>
      <w:proofErr w:type="gramStart"/>
      <w:r w:rsidRPr="00F70359">
        <w:rPr>
          <w:rFonts w:ascii="Aptos" w:hAnsi="Aptos"/>
          <w:sz w:val="20"/>
          <w:szCs w:val="20"/>
        </w:rPr>
        <w:t>program;</w:t>
      </w:r>
      <w:proofErr w:type="gramEnd"/>
    </w:p>
    <w:p w:rsidRPr="00F70359" w:rsidR="00B204E1" w:rsidP="00F70359" w:rsidRDefault="482F7DE4" w14:paraId="4F6CA58C" w14:textId="6EE2504C">
      <w:pPr>
        <w:numPr>
          <w:ilvl w:val="0"/>
          <w:numId w:val="6"/>
        </w:numPr>
        <w:tabs>
          <w:tab w:val="num" w:pos="720"/>
        </w:tabs>
        <w:spacing w:after="0" w:line="240" w:lineRule="auto"/>
        <w:ind w:left="1140" w:hanging="60"/>
        <w:contextualSpacing/>
        <w:rPr>
          <w:rFonts w:ascii="Aptos" w:hAnsi="Aptos"/>
          <w:sz w:val="20"/>
          <w:szCs w:val="20"/>
        </w:rPr>
      </w:pPr>
      <w:r w:rsidRPr="00F70359">
        <w:rPr>
          <w:rFonts w:ascii="Aptos" w:hAnsi="Aptos"/>
          <w:sz w:val="20"/>
          <w:szCs w:val="20"/>
        </w:rPr>
        <w:t xml:space="preserve"> is dropped from the program based on established criteria; </w:t>
      </w:r>
      <w:r w:rsidRPr="00F70359">
        <w:rPr>
          <w:rFonts w:ascii="Aptos" w:hAnsi="Aptos"/>
          <w:b/>
          <w:bCs/>
          <w:sz w:val="20"/>
          <w:szCs w:val="20"/>
        </w:rPr>
        <w:t>or</w:t>
      </w:r>
    </w:p>
    <w:p w:rsidRPr="00F70359" w:rsidR="00B204E1" w:rsidP="00F70359" w:rsidRDefault="482F7DE4" w14:paraId="6254C915" w14:textId="7B2F6546">
      <w:pPr>
        <w:numPr>
          <w:ilvl w:val="0"/>
          <w:numId w:val="6"/>
        </w:numPr>
        <w:tabs>
          <w:tab w:val="num" w:pos="720"/>
        </w:tabs>
        <w:spacing w:after="0" w:line="240" w:lineRule="auto"/>
        <w:ind w:left="1140" w:hanging="60"/>
        <w:contextualSpacing/>
        <w:rPr>
          <w:rFonts w:ascii="Aptos" w:hAnsi="Aptos"/>
          <w:sz w:val="20"/>
          <w:szCs w:val="20"/>
        </w:rPr>
      </w:pPr>
      <w:r w:rsidRPr="00F70359">
        <w:rPr>
          <w:rFonts w:ascii="Aptos" w:hAnsi="Aptos"/>
          <w:sz w:val="20"/>
          <w:szCs w:val="20"/>
        </w:rPr>
        <w:t xml:space="preserve"> is admitted to another approved program to complete the requirements, with minimal disruption, for the authorization.</w:t>
      </w:r>
    </w:p>
    <w:p w:rsidRPr="00F70359" w:rsidR="00B204E1" w:rsidP="00F70359" w:rsidRDefault="00B204E1" w14:paraId="2C568247" w14:textId="77777777">
      <w:pPr>
        <w:spacing w:after="0" w:line="240" w:lineRule="auto"/>
        <w:ind w:left="1140"/>
        <w:contextualSpacing/>
        <w:rPr>
          <w:rFonts w:ascii="Aptos" w:hAnsi="Aptos"/>
          <w:sz w:val="20"/>
          <w:szCs w:val="20"/>
        </w:rPr>
      </w:pPr>
    </w:p>
    <w:p w:rsidRPr="00F70359" w:rsidR="00B204E1" w:rsidP="00F70359" w:rsidRDefault="482F7DE4" w14:paraId="0DA9439C" w14:textId="77777777">
      <w:pPr>
        <w:spacing w:after="0" w:line="240" w:lineRule="auto"/>
        <w:ind w:left="360"/>
        <w:contextualSpacing/>
        <w:rPr>
          <w:rFonts w:ascii="Aptos" w:hAnsi="Aptos"/>
          <w:sz w:val="20"/>
          <w:szCs w:val="20"/>
        </w:rPr>
      </w:pPr>
      <w:r w:rsidRPr="00F70359">
        <w:rPr>
          <w:rFonts w:ascii="Aptos" w:hAnsi="Aptos"/>
          <w:sz w:val="20"/>
          <w:szCs w:val="20"/>
        </w:rPr>
        <w:lastRenderedPageBreak/>
        <w:t>In the event the program closes, a teach out plan, which includes individual transition plans for each candidate as well as a plan for candidates and graduates to access their student records would need to be developed. </w:t>
      </w:r>
    </w:p>
    <w:tbl>
      <w:tblPr>
        <w:tblStyle w:val="TableGrid"/>
        <w:tblpPr w:leftFromText="180" w:rightFromText="180" w:vertAnchor="text" w:horzAnchor="margin" w:tblpXSpec="center" w:tblpY="104"/>
        <w:tblW w:w="0" w:type="auto"/>
        <w:tblLook w:val="04A0" w:firstRow="1" w:lastRow="0" w:firstColumn="1" w:lastColumn="0" w:noHBand="0" w:noVBand="1"/>
      </w:tblPr>
      <w:tblGrid>
        <w:gridCol w:w="8635"/>
      </w:tblGrid>
      <w:tr w:rsidRPr="00F70359" w:rsidR="00DA4774" w:rsidTr="25866766" w14:paraId="22DD263D" w14:textId="77777777">
        <w:tc>
          <w:tcPr>
            <w:tcW w:w="8635" w:type="dxa"/>
            <w:tcMar/>
          </w:tcPr>
          <w:p w:rsidRPr="00F70359" w:rsidR="00DA4774" w:rsidP="00F70359" w:rsidRDefault="00DA4774" w14:paraId="1E07043D" w14:textId="77777777">
            <w:pPr>
              <w:contextualSpacing/>
              <w:rPr>
                <w:rFonts w:ascii="Aptos" w:hAnsi="Aptos"/>
                <w:i/>
                <w:sz w:val="20"/>
                <w:szCs w:val="20"/>
              </w:rPr>
            </w:pPr>
            <w:r w:rsidRPr="00F70359">
              <w:rPr>
                <w:rFonts w:ascii="Aptos" w:hAnsi="Aptos"/>
                <w:i/>
                <w:iCs/>
                <w:sz w:val="20"/>
                <w:szCs w:val="20"/>
              </w:rPr>
              <w:t>Examples of </w:t>
            </w:r>
            <w:r w:rsidRPr="00F70359">
              <w:rPr>
                <w:rFonts w:ascii="Aptos" w:hAnsi="Aptos"/>
                <w:b/>
                <w:bCs/>
                <w:i/>
                <w:iCs/>
                <w:sz w:val="20"/>
                <w:szCs w:val="20"/>
              </w:rPr>
              <w:t>Acceptable </w:t>
            </w:r>
            <w:r w:rsidRPr="00F70359">
              <w:rPr>
                <w:rFonts w:ascii="Aptos" w:hAnsi="Aptos"/>
                <w:i/>
                <w:iCs/>
                <w:sz w:val="20"/>
                <w:szCs w:val="20"/>
              </w:rPr>
              <w:t>Evidence</w:t>
            </w:r>
          </w:p>
          <w:p w:rsidRPr="00F70359" w:rsidR="00DA4774" w:rsidP="00F70359" w:rsidRDefault="00DA4774" w14:paraId="0E3A5707" w14:textId="77777777">
            <w:pPr>
              <w:numPr>
                <w:ilvl w:val="0"/>
                <w:numId w:val="11"/>
              </w:numPr>
              <w:contextualSpacing/>
              <w:rPr>
                <w:rFonts w:ascii="Aptos" w:hAnsi="Aptos"/>
                <w:i/>
                <w:sz w:val="20"/>
                <w:szCs w:val="20"/>
              </w:rPr>
            </w:pPr>
            <w:r w:rsidRPr="00F70359">
              <w:rPr>
                <w:rFonts w:ascii="Aptos" w:hAnsi="Aptos"/>
                <w:i/>
                <w:sz w:val="20"/>
                <w:szCs w:val="20"/>
              </w:rPr>
              <w:t xml:space="preserve">A statement of assurance by Unit Head (Dean, Superintendent) that the institution understands that once it enrolls candidates that candidates must be able to complete the program even if the program plans to close. The statement should include an assurance covering all language in </w:t>
            </w:r>
            <w:proofErr w:type="spellStart"/>
            <w:r w:rsidRPr="00F70359">
              <w:rPr>
                <w:rFonts w:ascii="Aptos" w:hAnsi="Aptos"/>
                <w:i/>
                <w:sz w:val="20"/>
                <w:szCs w:val="20"/>
              </w:rPr>
              <w:t>i</w:t>
            </w:r>
            <w:proofErr w:type="spellEnd"/>
            <w:r w:rsidRPr="00F70359">
              <w:rPr>
                <w:rFonts w:ascii="Aptos" w:hAnsi="Aptos"/>
                <w:i/>
                <w:sz w:val="20"/>
                <w:szCs w:val="20"/>
              </w:rPr>
              <w:t>-iv.</w:t>
            </w:r>
            <w:r w:rsidRPr="00F70359">
              <w:rPr>
                <w:rFonts w:ascii="Aptos" w:hAnsi="Aptos"/>
                <w:i/>
                <w:sz w:val="20"/>
                <w:szCs w:val="20"/>
              </w:rPr>
              <w:br/>
            </w:r>
            <w:r w:rsidRPr="00F70359">
              <w:rPr>
                <w:rFonts w:ascii="Aptos" w:hAnsi="Aptos"/>
                <w:i/>
                <w:sz w:val="20"/>
                <w:szCs w:val="20"/>
              </w:rPr>
              <w:br/>
            </w:r>
            <w:r w:rsidRPr="00F70359">
              <w:rPr>
                <w:rFonts w:ascii="Aptos" w:hAnsi="Aptos"/>
                <w:b/>
                <w:bCs/>
                <w:i/>
                <w:sz w:val="20"/>
                <w:szCs w:val="20"/>
              </w:rPr>
              <w:t>AND</w:t>
            </w:r>
          </w:p>
          <w:p w:rsidRPr="00F70359" w:rsidR="00DA4774" w:rsidP="25866766" w:rsidRDefault="00DA4774" w14:paraId="6F296A3A" w14:textId="3F9341FB">
            <w:pPr>
              <w:numPr>
                <w:ilvl w:val="0"/>
                <w:numId w:val="12"/>
              </w:numPr>
              <w:spacing/>
              <w:contextualSpacing w:val="1"/>
              <w:rPr>
                <w:rFonts w:ascii="Aptos" w:hAnsi="Aptos"/>
                <w:sz w:val="20"/>
                <w:szCs w:val="20"/>
              </w:rPr>
            </w:pPr>
            <w:r w:rsidRPr="25866766" w:rsidR="00DA4774">
              <w:rPr>
                <w:rFonts w:ascii="Aptos" w:hAnsi="Aptos"/>
                <w:i w:val="1"/>
                <w:iCs w:val="1"/>
                <w:sz w:val="20"/>
                <w:szCs w:val="20"/>
              </w:rPr>
              <w:t>A copy of or link to the institution’s teach out plan in the event the programs would close or a description of the teach</w:t>
            </w:r>
            <w:r w:rsidRPr="25866766" w:rsidR="00DA4774">
              <w:rPr>
                <w:rFonts w:ascii="Aptos" w:hAnsi="Aptos"/>
                <w:i w:val="1"/>
                <w:iCs w:val="1"/>
                <w:sz w:val="20"/>
                <w:szCs w:val="20"/>
              </w:rPr>
              <w:t>-out</w:t>
            </w:r>
            <w:r w:rsidRPr="25866766" w:rsidR="00DA4774">
              <w:rPr>
                <w:rFonts w:ascii="Aptos" w:hAnsi="Aptos"/>
                <w:i w:val="1"/>
                <w:iCs w:val="1"/>
                <w:sz w:val="20"/>
                <w:szCs w:val="20"/>
              </w:rPr>
              <w:t xml:space="preserve"> plan (sufficiently specific) about how the institution will </w:t>
            </w:r>
            <w:r w:rsidRPr="25866766" w:rsidR="00DA4774">
              <w:rPr>
                <w:rFonts w:ascii="Aptos" w:hAnsi="Aptos"/>
                <w:i w:val="1"/>
                <w:iCs w:val="1"/>
                <w:sz w:val="20"/>
                <w:szCs w:val="20"/>
              </w:rPr>
              <w:t>provide for</w:t>
            </w:r>
            <w:r w:rsidRPr="25866766" w:rsidR="00DA4774">
              <w:rPr>
                <w:rFonts w:ascii="Aptos" w:hAnsi="Aptos"/>
                <w:i w:val="1"/>
                <w:iCs w:val="1"/>
                <w:sz w:val="20"/>
                <w:szCs w:val="20"/>
              </w:rPr>
              <w:t xml:space="preserve"> </w:t>
            </w:r>
            <w:r w:rsidRPr="25866766" w:rsidR="00DA4774">
              <w:rPr>
                <w:rFonts w:ascii="Aptos" w:hAnsi="Aptos"/>
                <w:i w:val="1"/>
                <w:iCs w:val="1"/>
                <w:sz w:val="20"/>
                <w:szCs w:val="20"/>
              </w:rPr>
              <w:t>candidates</w:t>
            </w:r>
            <w:r w:rsidRPr="25866766" w:rsidR="00DA4774">
              <w:rPr>
                <w:rFonts w:ascii="Aptos" w:hAnsi="Aptos"/>
                <w:i w:val="1"/>
                <w:iCs w:val="1"/>
                <w:sz w:val="20"/>
                <w:szCs w:val="20"/>
              </w:rPr>
              <w:t xml:space="preserve"> needs and ability to complete a program.</w:t>
            </w:r>
          </w:p>
        </w:tc>
      </w:tr>
    </w:tbl>
    <w:p w:rsidRPr="00F70359" w:rsidR="00B204E1" w:rsidP="00F70359" w:rsidRDefault="00B204E1" w14:paraId="187798CF" w14:textId="06B5E346">
      <w:pPr>
        <w:spacing w:after="0" w:line="240" w:lineRule="auto"/>
        <w:contextualSpacing/>
        <w:rPr>
          <w:rFonts w:ascii="Aptos" w:hAnsi="Aptos"/>
          <w:b/>
          <w:bCs/>
          <w:sz w:val="20"/>
          <w:szCs w:val="20"/>
        </w:rPr>
      </w:pPr>
    </w:p>
    <w:p w:rsidR="00924116" w:rsidP="00924116" w:rsidRDefault="00924116" w14:paraId="54A06DF3" w14:textId="77777777">
      <w:pPr>
        <w:spacing w:after="0" w:line="240" w:lineRule="auto"/>
        <w:ind w:left="720"/>
        <w:contextualSpacing/>
        <w:rPr>
          <w:rFonts w:ascii="Aptos" w:hAnsi="Aptos" w:eastAsia="Times New Roman" w:cs="Times New Roman"/>
          <w:kern w:val="0"/>
          <w:sz w:val="20"/>
          <w:szCs w:val="20"/>
          <w:lang w:eastAsia="zh-CN"/>
          <w14:ligatures w14:val="none"/>
        </w:rPr>
      </w:pPr>
      <w:r w:rsidRPr="00924116">
        <w:rPr>
          <w:rFonts w:ascii="Aptos" w:hAnsi="Aptos" w:eastAsia="Times New Roman" w:cs="Times New Roman"/>
          <w:kern w:val="0"/>
          <w:sz w:val="20"/>
          <w:szCs w:val="20"/>
          <w:lang w:eastAsia="zh-CN"/>
          <w14:ligatures w14:val="none"/>
        </w:rPr>
        <w:t>The University of La Verne LaFetra College of Education ensures that once a candidate is admitted and enrolled in an approved educator preparation program, the program will be offered in accordance with Commission-adopted standards until the candidate completes the program, withdraws, is dropped based on established criteria, or is admitted to another approved program with minimal disruption.</w:t>
      </w:r>
    </w:p>
    <w:p w:rsidRPr="00924116" w:rsidR="00924116" w:rsidP="00924116" w:rsidRDefault="00924116" w14:paraId="5ECE7872" w14:textId="77777777">
      <w:pPr>
        <w:spacing w:after="0" w:line="240" w:lineRule="auto"/>
        <w:ind w:left="720"/>
        <w:contextualSpacing/>
        <w:rPr>
          <w:rFonts w:ascii="Aptos" w:hAnsi="Aptos" w:eastAsia="Times New Roman" w:cs="Times New Roman"/>
          <w:kern w:val="0"/>
          <w:sz w:val="20"/>
          <w:szCs w:val="20"/>
          <w:lang w:eastAsia="zh-CN"/>
          <w14:ligatures w14:val="none"/>
        </w:rPr>
      </w:pPr>
    </w:p>
    <w:p w:rsidR="00924116" w:rsidP="00924116" w:rsidRDefault="00924116" w14:paraId="29A6DE2B" w14:textId="1A2125F9">
      <w:pPr>
        <w:spacing w:after="0" w:line="240" w:lineRule="auto"/>
        <w:ind w:left="720"/>
        <w:contextualSpacing/>
        <w:rPr>
          <w:rFonts w:ascii="Aptos" w:hAnsi="Aptos" w:eastAsia="Times New Roman" w:cs="Times New Roman"/>
          <w:kern w:val="0"/>
          <w:sz w:val="20"/>
          <w:szCs w:val="20"/>
          <w:lang w:eastAsia="zh-CN"/>
          <w14:ligatures w14:val="none"/>
        </w:rPr>
      </w:pPr>
      <w:r w:rsidRPr="00924116">
        <w:rPr>
          <w:rFonts w:ascii="Aptos" w:hAnsi="Aptos" w:eastAsia="Times New Roman" w:cs="Times New Roman"/>
          <w:kern w:val="0"/>
          <w:sz w:val="20"/>
          <w:szCs w:val="20"/>
          <w:lang w:eastAsia="zh-CN"/>
          <w14:ligatures w14:val="none"/>
        </w:rPr>
        <w:t xml:space="preserve">Candidates are provided continuous access to program coursework, academic advising, and support services throughout their enrollment to support successful progress toward program completion. Program expectations, enrollment policies, and completion requirements are published in the </w:t>
      </w:r>
      <w:hyperlink w:history="1" r:id="rId10">
        <w:r w:rsidRPr="00924116">
          <w:rPr>
            <w:rStyle w:val="Hyperlink"/>
            <w:rFonts w:ascii="Aptos" w:hAnsi="Aptos" w:eastAsia="Times New Roman" w:cs="Times New Roman"/>
            <w:kern w:val="0"/>
            <w:sz w:val="20"/>
            <w:szCs w:val="20"/>
            <w:lang w:eastAsia="zh-CN"/>
            <w14:ligatures w14:val="none"/>
          </w:rPr>
          <w:t>University Catalog</w:t>
        </w:r>
      </w:hyperlink>
      <w:r w:rsidRPr="00924116">
        <w:rPr>
          <w:rFonts w:ascii="Aptos" w:hAnsi="Aptos" w:eastAsia="Times New Roman" w:cs="Times New Roman"/>
          <w:kern w:val="0"/>
          <w:sz w:val="20"/>
          <w:szCs w:val="20"/>
          <w:lang w:eastAsia="zh-CN"/>
          <w14:ligatures w14:val="none"/>
        </w:rPr>
        <w:t xml:space="preserve"> and </w:t>
      </w:r>
      <w:hyperlink w:history="1" w:anchor="departmentsandprogramstext" r:id="rId11">
        <w:r w:rsidRPr="00924116">
          <w:rPr>
            <w:rStyle w:val="Hyperlink"/>
            <w:rFonts w:ascii="Aptos" w:hAnsi="Aptos" w:eastAsia="Times New Roman" w:cs="Times New Roman"/>
            <w:kern w:val="0"/>
            <w:sz w:val="20"/>
            <w:szCs w:val="20"/>
            <w:lang w:eastAsia="zh-CN"/>
            <w14:ligatures w14:val="none"/>
          </w:rPr>
          <w:t>Program Catalog Entries</w:t>
        </w:r>
      </w:hyperlink>
      <w:r w:rsidRPr="00924116">
        <w:rPr>
          <w:rFonts w:ascii="Aptos" w:hAnsi="Aptos" w:eastAsia="Times New Roman" w:cs="Times New Roman"/>
          <w:kern w:val="0"/>
          <w:sz w:val="20"/>
          <w:szCs w:val="20"/>
          <w:lang w:eastAsia="zh-CN"/>
          <w14:ligatures w14:val="none"/>
        </w:rPr>
        <w:t>.</w:t>
      </w:r>
    </w:p>
    <w:p w:rsidRPr="00924116" w:rsidR="00924116" w:rsidP="00924116" w:rsidRDefault="00924116" w14:paraId="4F9CFDD5" w14:textId="77777777">
      <w:pPr>
        <w:spacing w:after="0" w:line="240" w:lineRule="auto"/>
        <w:ind w:left="720"/>
        <w:contextualSpacing/>
        <w:rPr>
          <w:rFonts w:ascii="Aptos" w:hAnsi="Aptos" w:eastAsia="Times New Roman" w:cs="Times New Roman"/>
          <w:kern w:val="0"/>
          <w:sz w:val="20"/>
          <w:szCs w:val="20"/>
          <w:lang w:eastAsia="zh-CN"/>
          <w14:ligatures w14:val="none"/>
        </w:rPr>
      </w:pPr>
    </w:p>
    <w:p w:rsidRPr="00F70359" w:rsidR="00DA4774" w:rsidP="00924116" w:rsidRDefault="00924116" w14:paraId="3FDF4B72" w14:textId="380B84C8">
      <w:pPr>
        <w:spacing w:after="0" w:line="240" w:lineRule="auto"/>
        <w:ind w:left="720"/>
        <w:contextualSpacing/>
        <w:rPr>
          <w:rFonts w:ascii="Aptos" w:hAnsi="Aptos"/>
          <w:sz w:val="20"/>
          <w:szCs w:val="20"/>
        </w:rPr>
      </w:pPr>
      <w:proofErr w:type="gramStart"/>
      <w:r w:rsidRPr="00924116">
        <w:rPr>
          <w:rFonts w:ascii="Aptos" w:hAnsi="Aptos" w:eastAsia="Times New Roman" w:cs="Times New Roman"/>
          <w:kern w:val="0"/>
          <w:sz w:val="20"/>
          <w:szCs w:val="20"/>
          <w:lang w:eastAsia="zh-CN"/>
          <w14:ligatures w14:val="none"/>
        </w:rPr>
        <w:t>In the event that</w:t>
      </w:r>
      <w:proofErr w:type="gramEnd"/>
      <w:r w:rsidRPr="00924116">
        <w:rPr>
          <w:rFonts w:ascii="Aptos" w:hAnsi="Aptos" w:eastAsia="Times New Roman" w:cs="Times New Roman"/>
          <w:kern w:val="0"/>
          <w:sz w:val="20"/>
          <w:szCs w:val="20"/>
          <w:lang w:eastAsia="zh-CN"/>
          <w14:ligatures w14:val="none"/>
        </w:rPr>
        <w:t xml:space="preserve"> a program becomes inactive or is discontinued, the University implements a formal teach-out plan in accordance with institutional policy. This plan includes individualized transition plans to ensure each candidate </w:t>
      </w:r>
      <w:proofErr w:type="gramStart"/>
      <w:r w:rsidRPr="00924116">
        <w:rPr>
          <w:rFonts w:ascii="Aptos" w:hAnsi="Aptos" w:eastAsia="Times New Roman" w:cs="Times New Roman"/>
          <w:kern w:val="0"/>
          <w:sz w:val="20"/>
          <w:szCs w:val="20"/>
          <w:lang w:eastAsia="zh-CN"/>
          <w14:ligatures w14:val="none"/>
        </w:rPr>
        <w:t>is able to</w:t>
      </w:r>
      <w:proofErr w:type="gramEnd"/>
      <w:r w:rsidRPr="00924116">
        <w:rPr>
          <w:rFonts w:ascii="Aptos" w:hAnsi="Aptos" w:eastAsia="Times New Roman" w:cs="Times New Roman"/>
          <w:kern w:val="0"/>
          <w:sz w:val="20"/>
          <w:szCs w:val="20"/>
          <w:lang w:eastAsia="zh-CN"/>
          <w14:ligatures w14:val="none"/>
        </w:rPr>
        <w:t xml:space="preserve"> complete program requirements. When appropriate, cohort-based teach-out options are provided. The institution also ensures that candidates and program completers retain access to their academic records and documentation of program completion as outlined in the </w:t>
      </w:r>
      <w:hyperlink w:history="1" r:id="rId12">
        <w:proofErr w:type="spellStart"/>
        <w:r w:rsidRPr="00F70359" w:rsidR="00DA4774">
          <w:rPr>
            <w:rStyle w:val="Hyperlink"/>
            <w:rFonts w:ascii="Aptos" w:hAnsi="Aptos"/>
            <w:sz w:val="20"/>
            <w:szCs w:val="20"/>
          </w:rPr>
          <w:t>Catalog</w:t>
        </w:r>
      </w:hyperlink>
      <w:r w:rsidRPr="00F70359" w:rsidR="00DA4774">
        <w:rPr>
          <w:rFonts w:ascii="Aptos" w:hAnsi="Aptos"/>
          <w:sz w:val="20"/>
          <w:szCs w:val="20"/>
        </w:rPr>
        <w:t>:</w:t>
      </w:r>
      <w:proofErr w:type="spellEnd"/>
    </w:p>
    <w:p w:rsidRPr="00F70359" w:rsidR="00F70359" w:rsidP="00F70359" w:rsidRDefault="00F70359" w14:paraId="59C1354A" w14:textId="77777777">
      <w:pPr>
        <w:pStyle w:val="NormalWeb"/>
        <w:spacing w:before="0" w:beforeAutospacing="0" w:after="0" w:afterAutospacing="0"/>
        <w:ind w:left="720"/>
        <w:rPr>
          <w:rFonts w:ascii="Aptos" w:hAnsi="Aptos"/>
          <w:sz w:val="20"/>
          <w:szCs w:val="20"/>
        </w:rPr>
      </w:pPr>
    </w:p>
    <w:p w:rsidRPr="00F70359" w:rsidR="00DA4774" w:rsidP="00F70359" w:rsidRDefault="00DA4774" w14:paraId="1742B6C9" w14:textId="67B09FB9">
      <w:pPr>
        <w:pStyle w:val="NormalWeb"/>
        <w:spacing w:before="0" w:beforeAutospacing="0" w:after="0" w:afterAutospacing="0"/>
        <w:ind w:left="1440"/>
        <w:rPr>
          <w:rFonts w:ascii="Aptos" w:hAnsi="Aptos"/>
          <w:sz w:val="20"/>
          <w:szCs w:val="20"/>
        </w:rPr>
      </w:pPr>
      <w:r w:rsidRPr="00F70359">
        <w:rPr>
          <w:rFonts w:ascii="Aptos" w:hAnsi="Aptos"/>
          <w:sz w:val="20"/>
          <w:szCs w:val="20"/>
        </w:rPr>
        <w:drawing>
          <wp:inline distT="0" distB="0" distL="0" distR="0" wp14:anchorId="7DEC69D3" wp14:editId="3E8EEF2F">
            <wp:extent cx="4693974" cy="2180829"/>
            <wp:effectExtent l="0" t="0" r="5080" b="3810"/>
            <wp:docPr id="1023209364" name="Picture 1" descr="A close-up of a documen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3209364" name="Picture 1" descr="A close-up of a document&#10;&#10;AI-generated content may be incorrect."/>
                    <pic:cNvPicPr/>
                  </pic:nvPicPr>
                  <pic:blipFill>
                    <a:blip r:embed="rId13"/>
                    <a:stretch>
                      <a:fillRect/>
                    </a:stretch>
                  </pic:blipFill>
                  <pic:spPr>
                    <a:xfrm>
                      <a:off x="0" y="0"/>
                      <a:ext cx="4707542" cy="2187133"/>
                    </a:xfrm>
                    <a:prstGeom prst="rect">
                      <a:avLst/>
                    </a:prstGeom>
                  </pic:spPr>
                </pic:pic>
              </a:graphicData>
            </a:graphic>
          </wp:inline>
        </w:drawing>
      </w:r>
    </w:p>
    <w:p w:rsidR="00924116" w:rsidP="00924116" w:rsidRDefault="00924116" w14:paraId="14BEB705" w14:textId="77777777">
      <w:pPr>
        <w:spacing w:after="0" w:line="240" w:lineRule="auto"/>
        <w:ind w:left="720"/>
        <w:contextualSpacing/>
        <w:rPr>
          <w:rFonts w:ascii="Aptos" w:hAnsi="Aptos" w:eastAsia="Times New Roman" w:cs="Times New Roman"/>
          <w:kern w:val="0"/>
          <w:sz w:val="20"/>
          <w:szCs w:val="20"/>
          <w:lang w:eastAsia="zh-CN"/>
          <w14:ligatures w14:val="none"/>
        </w:rPr>
      </w:pPr>
    </w:p>
    <w:p w:rsidRPr="00924116" w:rsidR="11111512" w:rsidP="431A1144" w:rsidRDefault="00924116" w14:paraId="3FFE0D81" w14:textId="5411379D">
      <w:pPr>
        <w:spacing w:after="0" w:line="240" w:lineRule="auto"/>
        <w:ind w:left="720"/>
        <w:contextualSpacing w:val="1"/>
        <w:rPr>
          <w:rFonts w:ascii="Aptos" w:hAnsi="Aptos" w:eastAsia="Times New Roman" w:cs="Times New Roman"/>
          <w:kern w:val="0"/>
          <w:sz w:val="20"/>
          <w:szCs w:val="20"/>
          <w:lang w:eastAsia="zh-CN"/>
          <w14:ligatures w14:val="none"/>
        </w:rPr>
      </w:pPr>
      <w:r w:rsidRPr="00924116" w:rsidR="00924116">
        <w:rPr>
          <w:rFonts w:ascii="Aptos" w:hAnsi="Aptos" w:eastAsia="Times New Roman" w:cs="Times New Roman"/>
          <w:kern w:val="0"/>
          <w:sz w:val="20"/>
          <w:szCs w:val="20"/>
          <w:lang w:eastAsia="zh-CN"/>
          <w14:ligatures w14:val="none"/>
        </w:rPr>
        <w:t xml:space="preserve">The University affirms its responsibility to ensure candidates </w:t>
      </w:r>
      <w:r w:rsidRPr="00924116" w:rsidR="00924116">
        <w:rPr>
          <w:rFonts w:ascii="Aptos" w:hAnsi="Aptos" w:eastAsia="Times New Roman" w:cs="Times New Roman"/>
          <w:kern w:val="0"/>
          <w:sz w:val="20"/>
          <w:szCs w:val="20"/>
          <w:lang w:eastAsia="zh-CN"/>
          <w14:ligatures w14:val="none"/>
        </w:rPr>
        <w:t>are able to</w:t>
      </w:r>
      <w:r w:rsidRPr="00924116" w:rsidR="00924116">
        <w:rPr>
          <w:rFonts w:ascii="Aptos" w:hAnsi="Aptos" w:eastAsia="Times New Roman" w:cs="Times New Roman"/>
          <w:kern w:val="0"/>
          <w:sz w:val="20"/>
          <w:szCs w:val="20"/>
          <w:lang w:eastAsia="zh-CN"/>
          <w14:ligatures w14:val="none"/>
        </w:rPr>
        <w:t xml:space="preserve"> complete their program of study in alignment with Commission requirements</w:t>
      </w:r>
      <w:r w:rsidR="00924116">
        <w:rPr>
          <w:rFonts w:ascii="Aptos" w:hAnsi="Aptos" w:eastAsia="Times New Roman" w:cs="Times New Roman"/>
          <w:kern w:val="0"/>
          <w:sz w:val="20"/>
          <w:szCs w:val="20"/>
          <w:lang w:eastAsia="zh-CN"/>
          <w14:ligatures w14:val="none"/>
        </w:rPr>
        <w:t>. S</w:t>
      </w:r>
      <w:r w:rsidRPr="00924116" w:rsidR="00924116">
        <w:rPr>
          <w:rFonts w:ascii="Aptos" w:hAnsi="Aptos" w:eastAsia="Times New Roman" w:cs="Times New Roman"/>
          <w:kern w:val="0"/>
          <w:sz w:val="20"/>
          <w:szCs w:val="20"/>
          <w:lang w:eastAsia="zh-CN"/>
          <w14:ligatures w14:val="none"/>
        </w:rPr>
        <w:t xml:space="preserve">ee </w:t>
      </w:r>
      <w:hyperlink r:id="R09a1897df20d4e75">
        <w:r w:rsidRPr="431A1144" w:rsidR="00924116">
          <w:rPr>
            <w:rStyle w:val="Hyperlink"/>
            <w:rFonts w:ascii="Aptos" w:hAnsi="Aptos" w:eastAsia="Times New Roman" w:cs="Times New Roman"/>
            <w:sz w:val="20"/>
            <w:szCs w:val="20"/>
            <w:lang w:eastAsia="zh-CN"/>
          </w:rPr>
          <w:t>Letter of Assurance</w:t>
        </w:r>
      </w:hyperlink>
      <w:r w:rsidRPr="00924116" w:rsidR="00924116">
        <w:rPr>
          <w:rFonts w:ascii="Aptos" w:hAnsi="Aptos" w:eastAsia="Times New Roman" w:cs="Times New Roman"/>
          <w:b w:val="1"/>
          <w:bCs w:val="1"/>
          <w:kern w:val="0"/>
          <w:sz w:val="20"/>
          <w:szCs w:val="20"/>
          <w:lang w:eastAsia="zh-CN"/>
          <w14:ligatures w14:val="none"/>
        </w:rPr>
        <w:t xml:space="preserve"> </w:t>
      </w:r>
    </w:p>
    <w:p w:rsidRPr="00F70359" w:rsidR="00924116" w:rsidP="00F70359" w:rsidRDefault="00924116" w14:paraId="701BD37E" w14:textId="77777777">
      <w:pPr>
        <w:spacing w:after="0" w:line="240" w:lineRule="auto"/>
        <w:ind w:left="730" w:right="198" w:hanging="10"/>
        <w:rPr>
          <w:rFonts w:ascii="Aptos" w:hAnsi="Aptos" w:eastAsiaTheme="minorEastAsia"/>
          <w:color w:val="A02B93" w:themeColor="accent5"/>
          <w:sz w:val="20"/>
          <w:szCs w:val="20"/>
        </w:rPr>
      </w:pPr>
    </w:p>
    <w:p w:rsidRPr="00F70359" w:rsidR="00B204E1" w:rsidP="00F70359" w:rsidRDefault="3EA828AA" w14:paraId="7FA293AB" w14:textId="77777777">
      <w:pPr>
        <w:spacing w:after="0" w:line="240" w:lineRule="auto"/>
        <w:contextualSpacing/>
        <w:rPr>
          <w:rFonts w:ascii="Aptos" w:hAnsi="Aptos"/>
          <w:b/>
          <w:bCs/>
          <w:sz w:val="22"/>
          <w:szCs w:val="22"/>
        </w:rPr>
      </w:pPr>
      <w:r w:rsidRPr="00F70359">
        <w:rPr>
          <w:rFonts w:ascii="Aptos" w:hAnsi="Aptos"/>
          <w:b/>
          <w:bCs/>
          <w:sz w:val="22"/>
          <w:szCs w:val="22"/>
        </w:rPr>
        <w:t>(3) Responsibility and Authority</w:t>
      </w:r>
    </w:p>
    <w:p w:rsidRPr="00F70359" w:rsidR="00DA4774" w:rsidP="00F70359" w:rsidRDefault="3EA828AA" w14:paraId="3C0C0AE1" w14:textId="6B199980">
      <w:pPr>
        <w:spacing w:after="0" w:line="240" w:lineRule="auto"/>
        <w:ind w:left="360"/>
        <w:contextualSpacing/>
        <w:rPr>
          <w:rFonts w:ascii="Aptos" w:hAnsi="Aptos"/>
          <w:sz w:val="20"/>
          <w:szCs w:val="20"/>
        </w:rPr>
      </w:pPr>
      <w:r w:rsidRPr="00F70359">
        <w:rPr>
          <w:rFonts w:ascii="Aptos" w:hAnsi="Aptos"/>
          <w:sz w:val="20"/>
          <w:szCs w:val="20"/>
        </w:rPr>
        <w:lastRenderedPageBreak/>
        <w:t>To be granted continuing accreditation by the Committee on Accreditation, the entity shall provide the following information:</w:t>
      </w:r>
    </w:p>
    <w:tbl>
      <w:tblPr>
        <w:tblStyle w:val="TableGrid"/>
        <w:tblpPr w:leftFromText="180" w:rightFromText="180" w:vertAnchor="text" w:horzAnchor="page" w:tblpX="2195" w:tblpY="35"/>
        <w:tblW w:w="0" w:type="auto"/>
        <w:tblLook w:val="04A0" w:firstRow="1" w:lastRow="0" w:firstColumn="1" w:lastColumn="0" w:noHBand="0" w:noVBand="1"/>
      </w:tblPr>
      <w:tblGrid>
        <w:gridCol w:w="9350"/>
      </w:tblGrid>
      <w:tr w:rsidRPr="00F70359" w:rsidR="00DA4774" w:rsidTr="00DA4774" w14:paraId="31FCC1B5" w14:textId="77777777">
        <w:trPr>
          <w:trHeight w:val="215"/>
        </w:trPr>
        <w:tc>
          <w:tcPr>
            <w:tcW w:w="9350" w:type="dxa"/>
          </w:tcPr>
          <w:p w:rsidRPr="00F70359" w:rsidR="00DA4774" w:rsidP="00F70359" w:rsidRDefault="00DA4774" w14:paraId="0FB9BD79" w14:textId="77777777">
            <w:pPr>
              <w:contextualSpacing/>
              <w:rPr>
                <w:rFonts w:ascii="Aptos" w:hAnsi="Aptos"/>
                <w:i/>
                <w:sz w:val="20"/>
                <w:szCs w:val="20"/>
              </w:rPr>
            </w:pPr>
            <w:r w:rsidRPr="00F70359">
              <w:rPr>
                <w:rFonts w:ascii="Aptos" w:hAnsi="Aptos"/>
                <w:i/>
                <w:iCs/>
                <w:sz w:val="20"/>
                <w:szCs w:val="20"/>
              </w:rPr>
              <w:t>Examples of </w:t>
            </w:r>
            <w:r w:rsidRPr="00F70359">
              <w:rPr>
                <w:rFonts w:ascii="Aptos" w:hAnsi="Aptos"/>
                <w:b/>
                <w:bCs/>
                <w:i/>
                <w:iCs/>
                <w:sz w:val="20"/>
                <w:szCs w:val="20"/>
              </w:rPr>
              <w:t>Acceptable </w:t>
            </w:r>
            <w:r w:rsidRPr="00F70359">
              <w:rPr>
                <w:rFonts w:ascii="Aptos" w:hAnsi="Aptos"/>
                <w:i/>
                <w:iCs/>
                <w:sz w:val="20"/>
                <w:szCs w:val="20"/>
              </w:rPr>
              <w:t>Evidence</w:t>
            </w:r>
          </w:p>
          <w:p w:rsidRPr="00F70359" w:rsidR="00DA4774" w:rsidP="00F70359" w:rsidRDefault="00DA4774" w14:paraId="63A6925D" w14:textId="77777777">
            <w:pPr>
              <w:numPr>
                <w:ilvl w:val="0"/>
                <w:numId w:val="13"/>
              </w:numPr>
              <w:contextualSpacing/>
              <w:rPr>
                <w:rFonts w:ascii="Aptos" w:hAnsi="Aptos"/>
                <w:i/>
                <w:sz w:val="20"/>
                <w:szCs w:val="20"/>
              </w:rPr>
            </w:pPr>
            <w:r w:rsidRPr="00F70359">
              <w:rPr>
                <w:rFonts w:ascii="Aptos" w:hAnsi="Aptos"/>
                <w:i/>
                <w:sz w:val="20"/>
                <w:szCs w:val="20"/>
              </w:rPr>
              <w:t>Title of the person responsible for oversight of all educator preparation programs (Unit Head). Name of the current occupant of that position is helpful but not required. Program Directors/ Coordinators are not the unit head unless that person is also institutional leadership, has oversight of all credential programs offered by the institution, and authority to designate institutional resources for all programs.</w:t>
            </w:r>
            <w:r w:rsidRPr="00F70359">
              <w:rPr>
                <w:rFonts w:ascii="Aptos" w:hAnsi="Aptos"/>
                <w:i/>
                <w:sz w:val="20"/>
                <w:szCs w:val="20"/>
              </w:rPr>
              <w:br/>
            </w:r>
            <w:r w:rsidRPr="00F70359">
              <w:rPr>
                <w:rFonts w:ascii="Aptos" w:hAnsi="Aptos"/>
                <w:i/>
                <w:sz w:val="20"/>
                <w:szCs w:val="20"/>
              </w:rPr>
              <w:br/>
            </w:r>
            <w:r w:rsidRPr="00F70359">
              <w:rPr>
                <w:rFonts w:ascii="Aptos" w:hAnsi="Aptos"/>
                <w:b/>
                <w:bCs/>
                <w:i/>
                <w:sz w:val="20"/>
                <w:szCs w:val="20"/>
              </w:rPr>
              <w:t>AND</w:t>
            </w:r>
          </w:p>
          <w:p w:rsidRPr="00F70359" w:rsidR="00DA4774" w:rsidP="00F70359" w:rsidRDefault="00DA4774" w14:paraId="0849D799" w14:textId="77777777">
            <w:pPr>
              <w:numPr>
                <w:ilvl w:val="0"/>
                <w:numId w:val="13"/>
              </w:numPr>
              <w:contextualSpacing/>
              <w:rPr>
                <w:rFonts w:ascii="Aptos" w:hAnsi="Aptos"/>
                <w:i/>
                <w:sz w:val="20"/>
                <w:szCs w:val="20"/>
              </w:rPr>
            </w:pPr>
            <w:r w:rsidRPr="00F70359">
              <w:rPr>
                <w:rFonts w:ascii="Aptos" w:hAnsi="Aptos"/>
                <w:i/>
                <w:sz w:val="20"/>
                <w:szCs w:val="20"/>
              </w:rPr>
              <w:t>An organization chart largely addresses this requirement. Please review the organization chart to make sure it is representative of all the credential programs offered by the institution, the positions responsible and the reporting relationships between key individuals. If any aspect of the program is delivered by an outside organization or individuals, please ensure that they are included in the information provided. Lines of authority must be clear.</w:t>
            </w:r>
            <w:r w:rsidRPr="00F70359">
              <w:rPr>
                <w:rFonts w:ascii="Aptos" w:hAnsi="Aptos"/>
                <w:i/>
                <w:sz w:val="20"/>
                <w:szCs w:val="20"/>
              </w:rPr>
              <w:br/>
            </w:r>
            <w:r w:rsidRPr="00F70359">
              <w:rPr>
                <w:rFonts w:ascii="Aptos" w:hAnsi="Aptos"/>
                <w:i/>
                <w:sz w:val="20"/>
                <w:szCs w:val="20"/>
              </w:rPr>
              <w:br/>
            </w:r>
            <w:r w:rsidRPr="00F70359">
              <w:rPr>
                <w:rFonts w:ascii="Aptos" w:hAnsi="Aptos"/>
                <w:b/>
                <w:bCs/>
                <w:i/>
                <w:sz w:val="20"/>
                <w:szCs w:val="20"/>
              </w:rPr>
              <w:t>AND</w:t>
            </w:r>
          </w:p>
          <w:p w:rsidRPr="00F70359" w:rsidR="00DA4774" w:rsidP="00F70359" w:rsidRDefault="00DA4774" w14:paraId="13E0CBF2" w14:textId="77777777">
            <w:pPr>
              <w:numPr>
                <w:ilvl w:val="0"/>
                <w:numId w:val="13"/>
              </w:numPr>
              <w:contextualSpacing/>
              <w:rPr>
                <w:rFonts w:ascii="Aptos" w:hAnsi="Aptos"/>
                <w:sz w:val="20"/>
                <w:szCs w:val="20"/>
              </w:rPr>
            </w:pPr>
            <w:r w:rsidRPr="00F70359">
              <w:rPr>
                <w:rFonts w:ascii="Aptos" w:hAnsi="Aptos"/>
                <w:i/>
                <w:sz w:val="20"/>
                <w:szCs w:val="20"/>
              </w:rPr>
              <w:t>An assurance that no one other than employees of the approved institution will submit credential recommendations accompanied with copies or links to policies that indicate who is responsible for all credential recommendations to the Commission and that any individual who is recommending will always be a current employee of the approved institution.</w:t>
            </w:r>
          </w:p>
        </w:tc>
      </w:tr>
    </w:tbl>
    <w:p w:rsidRPr="00F70359" w:rsidR="00DA4774" w:rsidP="00F70359" w:rsidRDefault="00DA4774" w14:paraId="64667B0E" w14:textId="77777777">
      <w:pPr>
        <w:spacing w:after="0" w:line="240" w:lineRule="auto"/>
        <w:ind w:left="1080"/>
        <w:contextualSpacing/>
        <w:rPr>
          <w:rFonts w:ascii="Aptos" w:hAnsi="Aptos" w:eastAsiaTheme="minorEastAsia"/>
          <w:sz w:val="20"/>
          <w:szCs w:val="20"/>
        </w:rPr>
      </w:pPr>
    </w:p>
    <w:p w:rsidRPr="00F70359" w:rsidR="00B204E1" w:rsidP="00F70359" w:rsidRDefault="3EA828AA" w14:paraId="11627FB6" w14:textId="350A3A2C">
      <w:pPr>
        <w:numPr>
          <w:ilvl w:val="0"/>
          <w:numId w:val="7"/>
        </w:numPr>
        <w:spacing w:after="0" w:line="240" w:lineRule="auto"/>
        <w:ind w:left="1080"/>
        <w:contextualSpacing/>
        <w:rPr>
          <w:rFonts w:ascii="Aptos" w:hAnsi="Aptos" w:eastAsiaTheme="minorEastAsia"/>
          <w:sz w:val="20"/>
          <w:szCs w:val="20"/>
        </w:rPr>
      </w:pPr>
      <w:r w:rsidRPr="00F70359">
        <w:rPr>
          <w:rFonts w:ascii="Aptos" w:hAnsi="Aptos"/>
          <w:sz w:val="20"/>
          <w:szCs w:val="20"/>
        </w:rPr>
        <w:t>Identify the position within the organizational structure that is responsible for ongoing oversight of all educator preparation programs offered by the entity (including educator preparat</w:t>
      </w:r>
      <w:r w:rsidRPr="00F70359">
        <w:rPr>
          <w:rFonts w:ascii="Aptos" w:hAnsi="Aptos" w:eastAsiaTheme="minorEastAsia"/>
          <w:sz w:val="20"/>
          <w:szCs w:val="20"/>
        </w:rPr>
        <w:t>ion programs offered by an extension division, if any).</w:t>
      </w:r>
    </w:p>
    <w:p w:rsidRPr="00F70359" w:rsidR="00B204E1" w:rsidP="00F70359" w:rsidRDefault="00B204E1" w14:paraId="5ECD88FC" w14:textId="18B32F83">
      <w:pPr>
        <w:spacing w:after="0" w:line="240" w:lineRule="auto"/>
        <w:contextualSpacing/>
        <w:rPr>
          <w:rFonts w:ascii="Aptos" w:hAnsi="Aptos" w:eastAsiaTheme="minorEastAsia"/>
          <w:sz w:val="20"/>
          <w:szCs w:val="20"/>
        </w:rPr>
      </w:pPr>
    </w:p>
    <w:p w:rsidRPr="00F70359" w:rsidR="00B204E1" w:rsidP="25866766" w:rsidRDefault="00FA6809" w14:paraId="641484F0" w14:textId="5F1CE5C4">
      <w:pPr>
        <w:spacing w:after="0" w:line="240" w:lineRule="auto"/>
        <w:ind w:left="1440"/>
        <w:contextualSpacing w:val="1"/>
        <w:rPr>
          <w:rFonts w:ascii="Aptos" w:hAnsi="Aptos" w:eastAsia="等线" w:eastAsiaTheme="minorEastAsia"/>
          <w:sz w:val="20"/>
          <w:szCs w:val="20"/>
        </w:rPr>
      </w:pPr>
      <w:r w:rsidRPr="25866766" w:rsidR="00FA6809">
        <w:rPr>
          <w:rFonts w:ascii="Aptos" w:hAnsi="Aptos" w:eastAsia="等线" w:eastAsiaTheme="minorEastAsia"/>
          <w:sz w:val="20"/>
          <w:szCs w:val="20"/>
        </w:rPr>
        <w:t xml:space="preserve">The Dean (Unit Head) of the LaFetra College of Education </w:t>
      </w:r>
      <w:r w:rsidRPr="25866766" w:rsidR="00FA6809">
        <w:rPr>
          <w:rFonts w:ascii="Aptos" w:hAnsi="Aptos" w:eastAsia="等线" w:eastAsiaTheme="minorEastAsia"/>
          <w:sz w:val="20"/>
          <w:szCs w:val="20"/>
        </w:rPr>
        <w:t>is responsible for</w:t>
      </w:r>
      <w:r w:rsidRPr="25866766" w:rsidR="00FA6809">
        <w:rPr>
          <w:rFonts w:ascii="Aptos" w:hAnsi="Aptos" w:eastAsia="等线" w:eastAsiaTheme="minorEastAsia"/>
          <w:sz w:val="20"/>
          <w:szCs w:val="20"/>
        </w:rPr>
        <w:t xml:space="preserve"> the ongoing academic and administrative oversight of all educator preparation programs offered by the University of La Verne, including programs delivered at the main campus, regional centers, and other sites across the state. The organizational structure and lines of authority are outlined in the </w:t>
      </w:r>
      <w:hyperlink r:id="Rc102c80eb248437f">
        <w:r w:rsidRPr="25866766" w:rsidR="00FA6809">
          <w:rPr>
            <w:rStyle w:val="Hyperlink"/>
            <w:rFonts w:ascii="Aptos" w:hAnsi="Aptos" w:eastAsia="等线" w:eastAsiaTheme="minorEastAsia"/>
            <w:sz w:val="20"/>
            <w:szCs w:val="20"/>
          </w:rPr>
          <w:t>Organizational Chart</w:t>
        </w:r>
      </w:hyperlink>
      <w:r w:rsidRPr="25866766" w:rsidR="00FA6809">
        <w:rPr>
          <w:rFonts w:ascii="Aptos" w:hAnsi="Aptos" w:eastAsia="等线" w:eastAsiaTheme="minorEastAsia"/>
          <w:sz w:val="20"/>
          <w:szCs w:val="20"/>
        </w:rPr>
        <w:t>.</w:t>
      </w:r>
    </w:p>
    <w:p w:rsidRPr="00F70359" w:rsidR="00FA6809" w:rsidP="00F70359" w:rsidRDefault="00FA6809" w14:paraId="5B912A93" w14:textId="77777777">
      <w:pPr>
        <w:spacing w:after="0" w:line="240" w:lineRule="auto"/>
        <w:ind w:left="1440"/>
        <w:contextualSpacing/>
        <w:rPr>
          <w:rFonts w:ascii="Aptos" w:hAnsi="Aptos" w:eastAsiaTheme="minorEastAsia"/>
          <w:sz w:val="20"/>
          <w:szCs w:val="20"/>
        </w:rPr>
      </w:pPr>
    </w:p>
    <w:p w:rsidRPr="00F70359" w:rsidR="00B204E1" w:rsidP="00F70359" w:rsidRDefault="3EA828AA" w14:paraId="18DB8607" w14:textId="53D41427">
      <w:pPr>
        <w:numPr>
          <w:ilvl w:val="0"/>
          <w:numId w:val="7"/>
        </w:numPr>
        <w:spacing w:after="0" w:line="240" w:lineRule="auto"/>
        <w:ind w:left="1080"/>
        <w:contextualSpacing/>
        <w:rPr>
          <w:rFonts w:ascii="Aptos" w:hAnsi="Aptos" w:eastAsiaTheme="minorEastAsia"/>
          <w:sz w:val="20"/>
          <w:szCs w:val="20"/>
        </w:rPr>
      </w:pPr>
      <w:r w:rsidRPr="00F70359">
        <w:rPr>
          <w:rFonts w:ascii="Aptos" w:hAnsi="Aptos" w:eastAsiaTheme="minorEastAsia"/>
          <w:sz w:val="20"/>
          <w:szCs w:val="20"/>
        </w:rPr>
        <w:t>Provide a d</w:t>
      </w:r>
      <w:r w:rsidRPr="00F70359">
        <w:rPr>
          <w:rFonts w:ascii="Aptos" w:hAnsi="Aptos"/>
          <w:sz w:val="20"/>
          <w:szCs w:val="20"/>
        </w:rPr>
        <w:t>escription of the reporting relationship between the position described in (a) and the individual(s) who coordinate each educator preparation program offered by the entity. If a reporting relationship is indirect, describe the levels of authority and responsibility for each educator preparation program. Include an organizational chart for the institution as well as the division(s) within the institution responsible for the oversight of educator preparation programs; include any parent organization, outside organization(s), or partner(s) who will be involved in the oversight of the educator pre</w:t>
      </w:r>
      <w:r w:rsidRPr="00F70359">
        <w:rPr>
          <w:rFonts w:ascii="Aptos" w:hAnsi="Aptos" w:eastAsiaTheme="minorEastAsia"/>
          <w:sz w:val="20"/>
          <w:szCs w:val="20"/>
        </w:rPr>
        <w:t>paration unit and/or responsible for any aspect of program delivery.</w:t>
      </w:r>
    </w:p>
    <w:p w:rsidRPr="00F70359" w:rsidR="00B204E1" w:rsidP="00F70359" w:rsidRDefault="00B204E1" w14:paraId="2EA543C0" w14:textId="239CD346">
      <w:pPr>
        <w:spacing w:after="0" w:line="240" w:lineRule="auto"/>
        <w:contextualSpacing/>
        <w:rPr>
          <w:rFonts w:ascii="Aptos" w:hAnsi="Aptos" w:eastAsiaTheme="minorEastAsia"/>
          <w:sz w:val="20"/>
          <w:szCs w:val="20"/>
        </w:rPr>
      </w:pPr>
    </w:p>
    <w:p w:rsidR="002A54CC" w:rsidP="002A54CC" w:rsidRDefault="002A54CC" w14:paraId="4A0E72F0" w14:textId="77777777">
      <w:pPr>
        <w:spacing w:after="0" w:line="240" w:lineRule="auto"/>
        <w:ind w:left="1440"/>
        <w:contextualSpacing/>
        <w:rPr>
          <w:rFonts w:ascii="Aptos" w:hAnsi="Aptos" w:eastAsiaTheme="minorEastAsia"/>
          <w:sz w:val="20"/>
          <w:szCs w:val="20"/>
        </w:rPr>
      </w:pPr>
      <w:r w:rsidRPr="002A54CC">
        <w:rPr>
          <w:rFonts w:ascii="Aptos" w:hAnsi="Aptos" w:eastAsiaTheme="minorEastAsia"/>
          <w:sz w:val="20"/>
          <w:szCs w:val="20"/>
        </w:rPr>
        <w:t>Educator preparation programs at the University of La Verne are organized within the LaFetra College of Education through a structured system of leadership that includes the Dean, academic departments, and individual programs. The Dean provides overall leadership and oversight of all educator preparation programs. Departments provide coordination and oversight at the disciplinary level, and Program Chairs and Directors are responsible for the implementation and day-to-day operation of individual credential programs.</w:t>
      </w:r>
    </w:p>
    <w:p w:rsidRPr="002A54CC" w:rsidR="002A54CC" w:rsidP="002A54CC" w:rsidRDefault="002A54CC" w14:paraId="6389B324" w14:textId="77777777">
      <w:pPr>
        <w:spacing w:after="0" w:line="240" w:lineRule="auto"/>
        <w:ind w:left="1440"/>
        <w:contextualSpacing/>
        <w:rPr>
          <w:rFonts w:ascii="Aptos" w:hAnsi="Aptos" w:eastAsiaTheme="minorEastAsia"/>
          <w:sz w:val="20"/>
          <w:szCs w:val="20"/>
        </w:rPr>
      </w:pPr>
    </w:p>
    <w:p w:rsidRPr="002A54CC" w:rsidR="002A54CC" w:rsidP="25866766" w:rsidRDefault="002A54CC" w14:paraId="275C39AE" w14:textId="566D74D0">
      <w:pPr>
        <w:pStyle w:val="Normal"/>
        <w:spacing w:after="0" w:line="240" w:lineRule="auto"/>
        <w:ind w:left="1440"/>
        <w:contextualSpacing w:val="1"/>
        <w:rPr>
          <w:rFonts w:ascii="Aptos" w:hAnsi="Aptos" w:eastAsia="等线" w:eastAsiaTheme="minorEastAsia"/>
          <w:sz w:val="20"/>
          <w:szCs w:val="20"/>
        </w:rPr>
      </w:pPr>
      <w:r w:rsidRPr="25866766" w:rsidR="002A54CC">
        <w:rPr>
          <w:rFonts w:ascii="Aptos" w:hAnsi="Aptos" w:eastAsia="等线" w:eastAsiaTheme="minorEastAsia"/>
          <w:sz w:val="20"/>
          <w:szCs w:val="20"/>
        </w:rPr>
        <w:t xml:space="preserve">All Program Chairs and Directors report within this structure to the Dean of the LaFetra College of Education, ensuring clear lines of authority, accountability, and program oversight. The full organizational structure, including reporting relationships and levels of responsibility, is documented in the </w:t>
      </w:r>
      <w:hyperlink r:id="Rf795aafa6dd042ce">
        <w:r w:rsidRPr="25866766" w:rsidR="22165431">
          <w:rPr>
            <w:rStyle w:val="Hyperlink"/>
            <w:rFonts w:ascii="Aptos" w:hAnsi="Aptos" w:eastAsia="等线" w:eastAsiaTheme="minorEastAsia"/>
            <w:sz w:val="20"/>
            <w:szCs w:val="20"/>
          </w:rPr>
          <w:t>Organizational Chart</w:t>
        </w:r>
      </w:hyperlink>
      <w:r w:rsidRPr="25866766" w:rsidR="22165431">
        <w:rPr>
          <w:rFonts w:ascii="Aptos" w:hAnsi="Aptos" w:eastAsia="等线" w:eastAsiaTheme="minorEastAsia"/>
          <w:sz w:val="20"/>
          <w:szCs w:val="20"/>
        </w:rPr>
        <w:t>.</w:t>
      </w:r>
    </w:p>
    <w:p w:rsidRPr="00F70359" w:rsidR="00F70359" w:rsidP="00F70359" w:rsidRDefault="00F70359" w14:paraId="2A5F4016" w14:textId="77777777">
      <w:pPr>
        <w:spacing w:after="0" w:line="240" w:lineRule="auto"/>
        <w:ind w:left="1440"/>
        <w:contextualSpacing/>
        <w:rPr>
          <w:rFonts w:ascii="Aptos" w:hAnsi="Aptos" w:eastAsiaTheme="minorEastAsia"/>
          <w:sz w:val="20"/>
          <w:szCs w:val="20"/>
        </w:rPr>
      </w:pPr>
    </w:p>
    <w:p w:rsidRPr="00F70359" w:rsidR="00B204E1" w:rsidP="00F70359" w:rsidRDefault="3EA828AA" w14:paraId="6317E2CA" w14:textId="77777777">
      <w:pPr>
        <w:numPr>
          <w:ilvl w:val="0"/>
          <w:numId w:val="7"/>
        </w:numPr>
        <w:spacing w:after="0" w:line="240" w:lineRule="auto"/>
        <w:ind w:left="1080"/>
        <w:contextualSpacing/>
        <w:rPr>
          <w:rFonts w:ascii="Aptos" w:hAnsi="Aptos" w:eastAsiaTheme="minorEastAsia"/>
          <w:sz w:val="20"/>
          <w:szCs w:val="20"/>
        </w:rPr>
      </w:pPr>
      <w:r w:rsidRPr="00F70359">
        <w:rPr>
          <w:rFonts w:ascii="Aptos" w:hAnsi="Aptos" w:eastAsiaTheme="minorEastAsia"/>
          <w:sz w:val="20"/>
          <w:szCs w:val="20"/>
        </w:rPr>
        <w:lastRenderedPageBreak/>
        <w:t xml:space="preserve">Provide </w:t>
      </w:r>
      <w:r w:rsidRPr="00F70359">
        <w:rPr>
          <w:rFonts w:ascii="Aptos" w:hAnsi="Aptos"/>
          <w:sz w:val="20"/>
          <w:szCs w:val="20"/>
        </w:rPr>
        <w:t>policies to ensure that duties regarding credential recommendations are pro</w:t>
      </w:r>
      <w:r w:rsidRPr="00F70359">
        <w:rPr>
          <w:rFonts w:ascii="Aptos" w:hAnsi="Aptos" w:eastAsiaTheme="minorEastAsia"/>
          <w:sz w:val="20"/>
          <w:szCs w:val="20"/>
        </w:rPr>
        <w:t>vided solely by persons who are current employees of the Commission approved institution.</w:t>
      </w:r>
    </w:p>
    <w:p w:rsidRPr="00F70359" w:rsidR="00B204E1" w:rsidP="00F70359" w:rsidRDefault="00B204E1" w14:paraId="3DBE26EF" w14:textId="3BA0F79A">
      <w:pPr>
        <w:tabs>
          <w:tab w:val="left" w:pos="754"/>
        </w:tabs>
        <w:spacing w:after="0" w:line="240" w:lineRule="auto"/>
        <w:ind w:left="1080" w:right="123"/>
        <w:contextualSpacing/>
        <w:rPr>
          <w:rFonts w:ascii="Aptos" w:hAnsi="Aptos" w:eastAsiaTheme="minorEastAsia"/>
          <w:color w:val="000000" w:themeColor="text1"/>
          <w:sz w:val="20"/>
          <w:szCs w:val="20"/>
        </w:rPr>
      </w:pPr>
    </w:p>
    <w:p w:rsidRPr="00FA6809" w:rsidR="00FA6809" w:rsidP="431A1144" w:rsidRDefault="002A54CC" w14:paraId="3E38F420" w14:textId="632D7BB8">
      <w:pPr>
        <w:pStyle w:val="Normal"/>
        <w:spacing w:after="0" w:line="240" w:lineRule="auto"/>
        <w:ind w:left="1440"/>
        <w:contextualSpacing w:val="1"/>
        <w:rPr>
          <w:rFonts w:ascii="Aptos" w:hAnsi="Aptos" w:eastAsia="等线" w:eastAsiaTheme="minorEastAsia"/>
          <w:sz w:val="20"/>
          <w:szCs w:val="20"/>
        </w:rPr>
      </w:pPr>
      <w:r w:rsidRPr="431A1144" w:rsidR="002A54CC">
        <w:rPr>
          <w:rFonts w:ascii="Aptos" w:hAnsi="Aptos" w:eastAsia="等线" w:eastAsiaTheme="minorEastAsia"/>
          <w:sz w:val="20"/>
          <w:szCs w:val="20"/>
        </w:rPr>
        <w:t xml:space="preserve">The LaFetra College of Education ensures that all credential recommendations to the Commission are made solely by authorized individuals who are current employees of the University of La Verne. The responsibility for oversight of credentialing functions </w:t>
      </w:r>
      <w:r w:rsidRPr="431A1144" w:rsidR="002A54CC">
        <w:rPr>
          <w:rFonts w:ascii="Aptos" w:hAnsi="Aptos" w:eastAsia="等线" w:eastAsiaTheme="minorEastAsia"/>
          <w:sz w:val="20"/>
          <w:szCs w:val="20"/>
        </w:rPr>
        <w:t>resides</w:t>
      </w:r>
      <w:r w:rsidRPr="431A1144" w:rsidR="002A54CC">
        <w:rPr>
          <w:rFonts w:ascii="Aptos" w:hAnsi="Aptos" w:eastAsia="等线" w:eastAsiaTheme="minorEastAsia"/>
          <w:sz w:val="20"/>
          <w:szCs w:val="20"/>
        </w:rPr>
        <w:t xml:space="preserve"> with the Dean, and institutional policies </w:t>
      </w:r>
      <w:r w:rsidRPr="431A1144" w:rsidR="002A54CC">
        <w:rPr>
          <w:rFonts w:ascii="Aptos" w:hAnsi="Aptos" w:eastAsia="等线" w:eastAsiaTheme="minorEastAsia"/>
          <w:sz w:val="20"/>
          <w:szCs w:val="20"/>
        </w:rPr>
        <w:t>designate</w:t>
      </w:r>
      <w:r w:rsidRPr="431A1144" w:rsidR="002A54CC">
        <w:rPr>
          <w:rFonts w:ascii="Aptos" w:hAnsi="Aptos" w:eastAsia="等线" w:eastAsiaTheme="minorEastAsia"/>
          <w:sz w:val="20"/>
          <w:szCs w:val="20"/>
        </w:rPr>
        <w:t xml:space="preserve"> specific trained personnel to </w:t>
      </w:r>
      <w:r w:rsidRPr="431A1144" w:rsidR="002A54CC">
        <w:rPr>
          <w:rFonts w:ascii="Aptos" w:hAnsi="Aptos" w:eastAsia="等线" w:eastAsiaTheme="minorEastAsia"/>
          <w:sz w:val="20"/>
          <w:szCs w:val="20"/>
        </w:rPr>
        <w:t>submit</w:t>
      </w:r>
      <w:r w:rsidRPr="431A1144" w:rsidR="002A54CC">
        <w:rPr>
          <w:rFonts w:ascii="Aptos" w:hAnsi="Aptos" w:eastAsia="等线" w:eastAsiaTheme="minorEastAsia"/>
          <w:sz w:val="20"/>
          <w:szCs w:val="20"/>
        </w:rPr>
        <w:t xml:space="preserve"> recommendations in compliance with Commission requirements. These procedures are outlined in institutional policy and supported by the </w:t>
      </w:r>
      <w:hyperlink r:id="R22075a5afab04512">
        <w:r w:rsidRPr="431A1144" w:rsidR="0D77B879">
          <w:rPr>
            <w:rStyle w:val="Hyperlink"/>
            <w:rFonts w:ascii="Aptos" w:hAnsi="Aptos" w:eastAsia="Times New Roman" w:cs="Times New Roman"/>
            <w:sz w:val="20"/>
            <w:szCs w:val="20"/>
            <w:lang w:eastAsia="zh-CN"/>
          </w:rPr>
          <w:t>Letter of Assurance</w:t>
        </w:r>
      </w:hyperlink>
      <w:r w:rsidRPr="431A1144" w:rsidR="002A54CC">
        <w:rPr>
          <w:rFonts w:ascii="Aptos" w:hAnsi="Aptos" w:eastAsia="等线" w:eastAsiaTheme="minorEastAsia"/>
          <w:sz w:val="20"/>
          <w:szCs w:val="20"/>
        </w:rPr>
        <w:t>.</w:t>
      </w:r>
    </w:p>
    <w:p w:rsidRPr="00F70359" w:rsidR="00B204E1" w:rsidP="00F70359" w:rsidRDefault="00B204E1" w14:paraId="0A40BFDE" w14:textId="59627547">
      <w:pPr>
        <w:spacing w:after="0" w:line="240" w:lineRule="auto"/>
        <w:contextualSpacing/>
        <w:rPr>
          <w:rFonts w:ascii="Aptos" w:hAnsi="Aptos"/>
          <w:sz w:val="20"/>
          <w:szCs w:val="20"/>
        </w:rPr>
      </w:pPr>
    </w:p>
    <w:p w:rsidRPr="00F70359" w:rsidR="00B204E1" w:rsidP="00F70359" w:rsidRDefault="068E9261" w14:paraId="07AB49C0" w14:textId="77777777">
      <w:pPr>
        <w:spacing w:after="0" w:line="240" w:lineRule="auto"/>
        <w:contextualSpacing/>
        <w:rPr>
          <w:rFonts w:ascii="Aptos" w:hAnsi="Aptos"/>
          <w:b/>
          <w:bCs/>
          <w:sz w:val="22"/>
          <w:szCs w:val="22"/>
        </w:rPr>
      </w:pPr>
      <w:r w:rsidRPr="00F70359">
        <w:rPr>
          <w:rFonts w:ascii="Aptos" w:hAnsi="Aptos"/>
          <w:b/>
          <w:bCs/>
          <w:sz w:val="22"/>
          <w:szCs w:val="22"/>
        </w:rPr>
        <w:t>(4) Lawful Practices</w:t>
      </w:r>
    </w:p>
    <w:p w:rsidRPr="00F70359" w:rsidR="00B204E1" w:rsidP="00F70359" w:rsidRDefault="068E9261" w14:paraId="66DF23BF" w14:textId="77777777">
      <w:pPr>
        <w:spacing w:after="0" w:line="240" w:lineRule="auto"/>
        <w:ind w:left="420"/>
        <w:contextualSpacing/>
        <w:rPr>
          <w:rFonts w:ascii="Aptos" w:hAnsi="Aptos"/>
          <w:sz w:val="20"/>
          <w:szCs w:val="20"/>
        </w:rPr>
      </w:pPr>
      <w:r w:rsidRPr="00F70359">
        <w:rPr>
          <w:rFonts w:ascii="Aptos" w:hAnsi="Aptos"/>
          <w:sz w:val="20"/>
          <w:szCs w:val="20"/>
        </w:rPr>
        <w:t>To be granted continuing accreditation by the Committee on Accreditation, a program of professional preparation must be proposed and operated by an entity that makes all personnel decisions without unlawful discrimination. These decisions include decisions regarding the admission, retention or graduation of students, and decisions regarding the employment, retention, or promotion of employees. </w:t>
      </w:r>
    </w:p>
    <w:tbl>
      <w:tblPr>
        <w:tblStyle w:val="TableGrid"/>
        <w:tblpPr w:leftFromText="180" w:rightFromText="180" w:vertAnchor="text" w:horzAnchor="margin" w:tblpXSpec="right" w:tblpY="108"/>
        <w:tblW w:w="0" w:type="auto"/>
        <w:tblLook w:val="04A0" w:firstRow="1" w:lastRow="0" w:firstColumn="1" w:lastColumn="0" w:noHBand="0" w:noVBand="1"/>
      </w:tblPr>
      <w:tblGrid>
        <w:gridCol w:w="8905"/>
      </w:tblGrid>
      <w:tr w:rsidRPr="00F70359" w:rsidR="00FA6809" w:rsidTr="00FA6809" w14:paraId="73C535D3" w14:textId="77777777">
        <w:tc>
          <w:tcPr>
            <w:tcW w:w="8905" w:type="dxa"/>
          </w:tcPr>
          <w:p w:rsidRPr="00F70359" w:rsidR="00FA6809" w:rsidP="00F70359" w:rsidRDefault="00FA6809" w14:paraId="21C9910B" w14:textId="77777777">
            <w:pPr>
              <w:contextualSpacing/>
              <w:rPr>
                <w:rFonts w:ascii="Aptos" w:hAnsi="Aptos"/>
                <w:i/>
                <w:sz w:val="20"/>
                <w:szCs w:val="20"/>
              </w:rPr>
            </w:pPr>
            <w:r w:rsidRPr="00F70359">
              <w:rPr>
                <w:rFonts w:ascii="Aptos" w:hAnsi="Aptos"/>
                <w:i/>
                <w:iCs/>
                <w:sz w:val="20"/>
                <w:szCs w:val="20"/>
              </w:rPr>
              <w:t>Examples of </w:t>
            </w:r>
            <w:r w:rsidRPr="00F70359">
              <w:rPr>
                <w:rFonts w:ascii="Aptos" w:hAnsi="Aptos"/>
                <w:b/>
                <w:bCs/>
                <w:i/>
                <w:iCs/>
                <w:sz w:val="20"/>
                <w:szCs w:val="20"/>
              </w:rPr>
              <w:t>Acceptable </w:t>
            </w:r>
            <w:r w:rsidRPr="00F70359">
              <w:rPr>
                <w:rFonts w:ascii="Aptos" w:hAnsi="Aptos"/>
                <w:i/>
                <w:iCs/>
                <w:sz w:val="20"/>
                <w:szCs w:val="20"/>
              </w:rPr>
              <w:t>Evidence</w:t>
            </w:r>
          </w:p>
          <w:p w:rsidRPr="00F70359" w:rsidR="00FA6809" w:rsidP="00F70359" w:rsidRDefault="00FA6809" w14:paraId="4CCE12FC" w14:textId="77777777">
            <w:pPr>
              <w:numPr>
                <w:ilvl w:val="0"/>
                <w:numId w:val="14"/>
              </w:numPr>
              <w:contextualSpacing/>
              <w:rPr>
                <w:rFonts w:ascii="Aptos" w:hAnsi="Aptos"/>
                <w:i/>
                <w:sz w:val="20"/>
                <w:szCs w:val="20"/>
              </w:rPr>
            </w:pPr>
            <w:r w:rsidRPr="00F70359">
              <w:rPr>
                <w:rFonts w:ascii="Aptos" w:hAnsi="Aptos"/>
                <w:i/>
                <w:sz w:val="20"/>
                <w:szCs w:val="20"/>
              </w:rPr>
              <w:t>Links or copies to documents that include non-discrimination language related to employment such as employee handbooks, recruitment materials, job postings, etc.</w:t>
            </w:r>
          </w:p>
          <w:p w:rsidRPr="00F70359" w:rsidR="00FA6809" w:rsidP="00F70359" w:rsidRDefault="00FA6809" w14:paraId="18BB2C09" w14:textId="77777777">
            <w:pPr>
              <w:ind w:left="720"/>
              <w:contextualSpacing/>
              <w:rPr>
                <w:rFonts w:ascii="Aptos" w:hAnsi="Aptos"/>
                <w:i/>
                <w:sz w:val="20"/>
                <w:szCs w:val="20"/>
              </w:rPr>
            </w:pPr>
            <w:r w:rsidRPr="00F70359">
              <w:rPr>
                <w:rFonts w:ascii="Aptos" w:hAnsi="Aptos"/>
                <w:b/>
                <w:bCs/>
                <w:i/>
                <w:sz w:val="20"/>
                <w:szCs w:val="20"/>
              </w:rPr>
              <w:t>AND</w:t>
            </w:r>
          </w:p>
          <w:p w:rsidRPr="00F70359" w:rsidR="00FA6809" w:rsidP="00F70359" w:rsidRDefault="00FA6809" w14:paraId="5F950A9E" w14:textId="77777777">
            <w:pPr>
              <w:numPr>
                <w:ilvl w:val="0"/>
                <w:numId w:val="15"/>
              </w:numPr>
              <w:contextualSpacing/>
              <w:rPr>
                <w:rFonts w:ascii="Aptos" w:hAnsi="Aptos"/>
                <w:sz w:val="20"/>
                <w:szCs w:val="20"/>
              </w:rPr>
            </w:pPr>
            <w:r w:rsidRPr="00F70359">
              <w:rPr>
                <w:rFonts w:ascii="Aptos" w:hAnsi="Aptos"/>
                <w:i/>
                <w:sz w:val="20"/>
                <w:szCs w:val="20"/>
              </w:rPr>
              <w:t>Links or copies to documents that includes non-discrimination language related to candidates in the program – admissions, retention, graduation and so forth. These are typically in candidate handbooks or candidate recruitment materials.</w:t>
            </w:r>
          </w:p>
        </w:tc>
      </w:tr>
    </w:tbl>
    <w:p w:rsidRPr="00F70359" w:rsidR="00B204E1" w:rsidP="00F70359" w:rsidRDefault="00B204E1" w14:paraId="125C2C0C" w14:textId="235B24E4">
      <w:pPr>
        <w:spacing w:after="0" w:line="240" w:lineRule="auto"/>
        <w:contextualSpacing/>
        <w:rPr>
          <w:rFonts w:ascii="Aptos" w:hAnsi="Aptos"/>
          <w:sz w:val="20"/>
          <w:szCs w:val="20"/>
        </w:rPr>
      </w:pPr>
    </w:p>
    <w:p w:rsidRPr="00F70359" w:rsidR="00FA6809" w:rsidP="00F70359" w:rsidRDefault="00FA6809" w14:paraId="2E43E94D" w14:textId="77777777">
      <w:pPr>
        <w:spacing w:after="0" w:line="240" w:lineRule="auto"/>
        <w:ind w:left="720"/>
        <w:contextualSpacing/>
        <w:rPr>
          <w:rFonts w:ascii="Aptos" w:hAnsi="Aptos" w:eastAsiaTheme="minorEastAsia"/>
          <w:sz w:val="20"/>
          <w:szCs w:val="20"/>
        </w:rPr>
      </w:pPr>
      <w:r w:rsidRPr="00FA6809">
        <w:rPr>
          <w:rFonts w:ascii="Aptos" w:hAnsi="Aptos" w:eastAsiaTheme="minorEastAsia"/>
          <w:sz w:val="20"/>
          <w:szCs w:val="20"/>
        </w:rPr>
        <w:t>The University of La Verne LaFetra College of Education ensures that all personnel decisions are made without unlawful discrimination. This includes decisions related to the admission, retention, and graduation of candidates, as well as the employment, retention, and promotion of employees. These decisions are made without regard to gender or any other constitutionally or legally prohibited basis.</w:t>
      </w:r>
    </w:p>
    <w:p w:rsidRPr="00FA6809" w:rsidR="00FA6809" w:rsidP="00F70359" w:rsidRDefault="00FA6809" w14:paraId="36D4C4FB" w14:textId="77777777">
      <w:pPr>
        <w:spacing w:after="0" w:line="240" w:lineRule="auto"/>
        <w:ind w:left="720"/>
        <w:contextualSpacing/>
        <w:rPr>
          <w:rFonts w:ascii="Aptos" w:hAnsi="Aptos" w:eastAsiaTheme="minorEastAsia"/>
          <w:sz w:val="20"/>
          <w:szCs w:val="20"/>
        </w:rPr>
      </w:pPr>
    </w:p>
    <w:p w:rsidRPr="00FA6809" w:rsidR="00FA6809" w:rsidP="00F70359" w:rsidRDefault="00FA6809" w14:paraId="7E59F5ED" w14:textId="5C297D38">
      <w:pPr>
        <w:spacing w:after="0" w:line="240" w:lineRule="auto"/>
        <w:ind w:left="720"/>
        <w:contextualSpacing/>
        <w:rPr>
          <w:rFonts w:ascii="Aptos" w:hAnsi="Aptos" w:eastAsiaTheme="minorEastAsia"/>
          <w:sz w:val="20"/>
          <w:szCs w:val="20"/>
        </w:rPr>
      </w:pPr>
      <w:r w:rsidRPr="00FA6809">
        <w:rPr>
          <w:rFonts w:ascii="Aptos" w:hAnsi="Aptos" w:eastAsiaTheme="minorEastAsia"/>
          <w:sz w:val="20"/>
          <w:szCs w:val="20"/>
        </w:rPr>
        <w:t xml:space="preserve">The University’s policies regarding non-discrimination and harassment are formally established and published in the </w:t>
      </w:r>
      <w:hyperlink w:history="1" r:id="rId14">
        <w:r w:rsidRPr="00FA6809">
          <w:rPr>
            <w:rStyle w:val="Hyperlink"/>
            <w:rFonts w:ascii="Aptos" w:hAnsi="Aptos" w:eastAsiaTheme="minorEastAsia"/>
            <w:sz w:val="20"/>
            <w:szCs w:val="20"/>
          </w:rPr>
          <w:t>University Catalog</w:t>
        </w:r>
      </w:hyperlink>
      <w:r w:rsidRPr="00FA6809">
        <w:rPr>
          <w:rFonts w:ascii="Aptos" w:hAnsi="Aptos" w:eastAsiaTheme="minorEastAsia"/>
          <w:sz w:val="20"/>
          <w:szCs w:val="20"/>
        </w:rPr>
        <w:t>, which is accessible to candidates, employees, and the public.</w:t>
      </w:r>
    </w:p>
    <w:p w:rsidRPr="00F70359" w:rsidR="00B204E1" w:rsidP="00F70359" w:rsidRDefault="00B204E1" w14:paraId="5FF7BFFE" w14:textId="77777777">
      <w:pPr>
        <w:spacing w:after="0" w:line="240" w:lineRule="auto"/>
        <w:contextualSpacing/>
        <w:rPr>
          <w:rFonts w:ascii="Aptos" w:hAnsi="Aptos"/>
          <w:sz w:val="20"/>
          <w:szCs w:val="20"/>
        </w:rPr>
      </w:pPr>
    </w:p>
    <w:p w:rsidRPr="00F70359" w:rsidR="00B204E1" w:rsidP="00F70359" w:rsidRDefault="079845C3" w14:paraId="6B39012D" w14:textId="77777777">
      <w:pPr>
        <w:spacing w:after="0" w:line="240" w:lineRule="auto"/>
        <w:contextualSpacing/>
        <w:rPr>
          <w:rFonts w:ascii="Aptos" w:hAnsi="Aptos"/>
          <w:b/>
          <w:bCs/>
          <w:sz w:val="22"/>
          <w:szCs w:val="22"/>
        </w:rPr>
      </w:pPr>
      <w:r w:rsidRPr="00F70359">
        <w:rPr>
          <w:rFonts w:ascii="Aptos" w:hAnsi="Aptos"/>
          <w:b/>
          <w:bCs/>
          <w:sz w:val="22"/>
          <w:szCs w:val="22"/>
        </w:rPr>
        <w:t>(5) Commission Assurances</w:t>
      </w:r>
    </w:p>
    <w:p w:rsidRPr="00F70359" w:rsidR="00B204E1" w:rsidP="00F70359" w:rsidRDefault="079845C3" w14:paraId="77669E9A" w14:textId="77777777">
      <w:pPr>
        <w:spacing w:after="0" w:line="240" w:lineRule="auto"/>
        <w:ind w:left="360"/>
        <w:contextualSpacing/>
        <w:rPr>
          <w:rFonts w:ascii="Aptos" w:hAnsi="Aptos"/>
          <w:sz w:val="20"/>
          <w:szCs w:val="20"/>
        </w:rPr>
      </w:pPr>
      <w:r w:rsidRPr="00F70359">
        <w:rPr>
          <w:rFonts w:ascii="Aptos" w:hAnsi="Aptos"/>
          <w:sz w:val="20"/>
          <w:szCs w:val="20"/>
        </w:rPr>
        <w:t>To be granted continuing accreditation by the Committee on Accreditation, the program sponsor must: </w:t>
      </w:r>
    </w:p>
    <w:p w:rsidRPr="00F70359" w:rsidR="00B204E1" w:rsidP="00F70359" w:rsidRDefault="079845C3" w14:paraId="6FA56EDD" w14:textId="77777777">
      <w:pPr>
        <w:numPr>
          <w:ilvl w:val="0"/>
          <w:numId w:val="8"/>
        </w:numPr>
        <w:spacing w:after="0" w:line="240" w:lineRule="auto"/>
        <w:ind w:left="1080"/>
        <w:contextualSpacing/>
        <w:rPr>
          <w:rFonts w:ascii="Aptos" w:hAnsi="Aptos"/>
          <w:sz w:val="20"/>
          <w:szCs w:val="20"/>
        </w:rPr>
      </w:pPr>
      <w:r w:rsidRPr="00F70359">
        <w:rPr>
          <w:rFonts w:ascii="Aptos" w:hAnsi="Aptos"/>
          <w:sz w:val="20"/>
          <w:szCs w:val="20"/>
        </w:rPr>
        <w:t xml:space="preserve">assure that the sponsor will fulfill </w:t>
      </w:r>
      <w:proofErr w:type="gramStart"/>
      <w:r w:rsidRPr="00F70359">
        <w:rPr>
          <w:rFonts w:ascii="Aptos" w:hAnsi="Aptos"/>
          <w:sz w:val="20"/>
          <w:szCs w:val="20"/>
        </w:rPr>
        <w:t>all of</w:t>
      </w:r>
      <w:proofErr w:type="gramEnd"/>
      <w:r w:rsidRPr="00F70359">
        <w:rPr>
          <w:rFonts w:ascii="Aptos" w:hAnsi="Aptos"/>
          <w:sz w:val="20"/>
          <w:szCs w:val="20"/>
        </w:rPr>
        <w:t xml:space="preserve"> the applicable standards of program quality and effectiveness that have been adopted by the Commission,</w:t>
      </w:r>
    </w:p>
    <w:p w:rsidRPr="00F70359" w:rsidR="00B204E1" w:rsidP="00F70359" w:rsidRDefault="079845C3" w14:paraId="520D2A46" w14:textId="77777777">
      <w:pPr>
        <w:numPr>
          <w:ilvl w:val="0"/>
          <w:numId w:val="8"/>
        </w:numPr>
        <w:spacing w:after="0" w:line="240" w:lineRule="auto"/>
        <w:ind w:left="1080"/>
        <w:contextualSpacing/>
        <w:rPr>
          <w:rFonts w:ascii="Aptos" w:hAnsi="Aptos"/>
          <w:sz w:val="20"/>
          <w:szCs w:val="20"/>
        </w:rPr>
      </w:pPr>
      <w:r w:rsidRPr="00F70359">
        <w:rPr>
          <w:rFonts w:ascii="Aptos" w:hAnsi="Aptos"/>
          <w:sz w:val="20"/>
          <w:szCs w:val="20"/>
        </w:rPr>
        <w:t>assure that all candidates participating in public school-based field activities hold a Certificate of Clearance from the Commission,</w:t>
      </w:r>
    </w:p>
    <w:p w:rsidRPr="00F70359" w:rsidR="00B204E1" w:rsidP="00F70359" w:rsidRDefault="079845C3" w14:paraId="5A7A7716" w14:textId="77777777">
      <w:pPr>
        <w:numPr>
          <w:ilvl w:val="0"/>
          <w:numId w:val="8"/>
        </w:numPr>
        <w:spacing w:after="0" w:line="240" w:lineRule="auto"/>
        <w:ind w:left="1080"/>
        <w:contextualSpacing/>
        <w:rPr>
          <w:rFonts w:ascii="Aptos" w:hAnsi="Aptos"/>
          <w:sz w:val="20"/>
          <w:szCs w:val="20"/>
        </w:rPr>
      </w:pPr>
      <w:r w:rsidRPr="00F70359">
        <w:rPr>
          <w:rFonts w:ascii="Aptos" w:hAnsi="Aptos"/>
          <w:sz w:val="20"/>
          <w:szCs w:val="20"/>
        </w:rPr>
        <w:t>assure that the approved program sponsor will cooperate in an evaluation of the program by an external team or a monitoring of the program by a Commission staff member, and</w:t>
      </w:r>
    </w:p>
    <w:p w:rsidRPr="00F70359" w:rsidR="00B204E1" w:rsidP="00F70359" w:rsidRDefault="079845C3" w14:paraId="4D990436" w14:textId="75FF62FA">
      <w:pPr>
        <w:numPr>
          <w:ilvl w:val="0"/>
          <w:numId w:val="8"/>
        </w:numPr>
        <w:spacing w:after="0" w:line="240" w:lineRule="auto"/>
        <w:ind w:left="1080"/>
        <w:contextualSpacing/>
        <w:rPr>
          <w:rFonts w:ascii="Aptos" w:hAnsi="Aptos"/>
          <w:sz w:val="20"/>
          <w:szCs w:val="20"/>
        </w:rPr>
      </w:pPr>
      <w:r w:rsidRPr="00F70359">
        <w:rPr>
          <w:rFonts w:ascii="Aptos" w:hAnsi="Aptos"/>
          <w:sz w:val="20"/>
          <w:szCs w:val="20"/>
        </w:rPr>
        <w:t>assure that the approved program sponsor will participate fully in the Commission’s accreditation system, including the timely submission of documents required for</w:t>
      </w:r>
      <w:r w:rsidRPr="00F70359" w:rsidR="00FA6809">
        <w:rPr>
          <w:rFonts w:ascii="Aptos" w:hAnsi="Aptos"/>
          <w:sz w:val="20"/>
          <w:szCs w:val="20"/>
        </w:rPr>
        <w:t xml:space="preserve"> </w:t>
      </w:r>
      <w:r w:rsidRPr="00F70359">
        <w:rPr>
          <w:rFonts w:ascii="Aptos" w:hAnsi="Aptos"/>
          <w:sz w:val="20"/>
          <w:szCs w:val="20"/>
        </w:rPr>
        <w:t>accreditation. </w:t>
      </w:r>
    </w:p>
    <w:tbl>
      <w:tblPr>
        <w:tblStyle w:val="TableGrid"/>
        <w:tblpPr w:leftFromText="180" w:rightFromText="180" w:vertAnchor="text" w:horzAnchor="page" w:tblpX="2188" w:tblpY="118"/>
        <w:tblW w:w="0" w:type="auto"/>
        <w:tblLook w:val="04A0" w:firstRow="1" w:lastRow="0" w:firstColumn="1" w:lastColumn="0" w:noHBand="0" w:noVBand="1"/>
      </w:tblPr>
      <w:tblGrid>
        <w:gridCol w:w="9350"/>
      </w:tblGrid>
      <w:tr w:rsidRPr="00F70359" w:rsidR="00F70359" w:rsidTr="00F70359" w14:paraId="5B651A6E" w14:textId="77777777">
        <w:tc>
          <w:tcPr>
            <w:tcW w:w="9350" w:type="dxa"/>
          </w:tcPr>
          <w:p w:rsidRPr="00F70359" w:rsidR="00F70359" w:rsidP="00F70359" w:rsidRDefault="00F70359" w14:paraId="2F09D421" w14:textId="77777777">
            <w:pPr>
              <w:contextualSpacing/>
              <w:rPr>
                <w:rFonts w:ascii="Aptos" w:hAnsi="Aptos"/>
                <w:i/>
                <w:sz w:val="20"/>
                <w:szCs w:val="20"/>
              </w:rPr>
            </w:pPr>
            <w:r w:rsidRPr="00F70359">
              <w:rPr>
                <w:rFonts w:ascii="Aptos" w:hAnsi="Aptos"/>
                <w:i/>
                <w:iCs/>
                <w:sz w:val="20"/>
                <w:szCs w:val="20"/>
              </w:rPr>
              <w:t>Examples of </w:t>
            </w:r>
            <w:r w:rsidRPr="00F70359">
              <w:rPr>
                <w:rFonts w:ascii="Aptos" w:hAnsi="Aptos"/>
                <w:b/>
                <w:bCs/>
                <w:i/>
                <w:iCs/>
                <w:sz w:val="20"/>
                <w:szCs w:val="20"/>
              </w:rPr>
              <w:t>Acceptable </w:t>
            </w:r>
            <w:r w:rsidRPr="00F70359">
              <w:rPr>
                <w:rFonts w:ascii="Aptos" w:hAnsi="Aptos"/>
                <w:i/>
                <w:iCs/>
                <w:sz w:val="20"/>
                <w:szCs w:val="20"/>
              </w:rPr>
              <w:t>Evidence</w:t>
            </w:r>
          </w:p>
          <w:p w:rsidRPr="00F70359" w:rsidR="00F70359" w:rsidP="00F70359" w:rsidRDefault="00F70359" w14:paraId="271BCF61" w14:textId="77777777">
            <w:pPr>
              <w:numPr>
                <w:ilvl w:val="0"/>
                <w:numId w:val="16"/>
              </w:numPr>
              <w:contextualSpacing/>
              <w:rPr>
                <w:rFonts w:ascii="Aptos" w:hAnsi="Aptos"/>
                <w:i/>
                <w:sz w:val="20"/>
                <w:szCs w:val="20"/>
              </w:rPr>
            </w:pPr>
            <w:r w:rsidRPr="00F70359">
              <w:rPr>
                <w:rFonts w:ascii="Aptos" w:hAnsi="Aptos"/>
                <w:i/>
                <w:sz w:val="20"/>
                <w:szCs w:val="20"/>
              </w:rPr>
              <w:t>Assurance statement by institutional leadership (unit head) that agrees and includes language pertaining to a-d.</w:t>
            </w:r>
          </w:p>
          <w:p w:rsidRPr="00F70359" w:rsidR="00F70359" w:rsidP="00F70359" w:rsidRDefault="00F70359" w14:paraId="70EF8A76" w14:textId="77777777">
            <w:pPr>
              <w:contextualSpacing/>
              <w:rPr>
                <w:rFonts w:ascii="Aptos" w:hAnsi="Aptos"/>
                <w:i/>
                <w:sz w:val="20"/>
                <w:szCs w:val="20"/>
              </w:rPr>
            </w:pPr>
            <w:r w:rsidRPr="00F70359">
              <w:rPr>
                <w:rFonts w:ascii="Aptos" w:hAnsi="Aptos"/>
                <w:i/>
                <w:iCs/>
                <w:sz w:val="20"/>
                <w:szCs w:val="20"/>
              </w:rPr>
              <w:t>Examples of </w:t>
            </w:r>
            <w:r w:rsidRPr="00F70359">
              <w:rPr>
                <w:rFonts w:ascii="Aptos" w:hAnsi="Aptos"/>
                <w:b/>
                <w:bCs/>
                <w:i/>
                <w:iCs/>
                <w:sz w:val="20"/>
                <w:szCs w:val="20"/>
              </w:rPr>
              <w:t>Insufficient </w:t>
            </w:r>
            <w:r w:rsidRPr="00F70359">
              <w:rPr>
                <w:rFonts w:ascii="Aptos" w:hAnsi="Aptos"/>
                <w:i/>
                <w:iCs/>
                <w:sz w:val="20"/>
                <w:szCs w:val="20"/>
              </w:rPr>
              <w:t>Evidence:</w:t>
            </w:r>
          </w:p>
          <w:p w:rsidRPr="00F70359" w:rsidR="00F70359" w:rsidP="00F70359" w:rsidRDefault="00F70359" w14:paraId="309FC2FC" w14:textId="77777777">
            <w:pPr>
              <w:numPr>
                <w:ilvl w:val="0"/>
                <w:numId w:val="17"/>
              </w:numPr>
              <w:contextualSpacing/>
              <w:rPr>
                <w:rFonts w:ascii="Aptos" w:hAnsi="Aptos"/>
                <w:i/>
                <w:sz w:val="20"/>
                <w:szCs w:val="20"/>
              </w:rPr>
            </w:pPr>
            <w:r w:rsidRPr="00F70359">
              <w:rPr>
                <w:rFonts w:ascii="Aptos" w:hAnsi="Aptos"/>
                <w:i/>
                <w:sz w:val="20"/>
                <w:szCs w:val="20"/>
              </w:rPr>
              <w:t>Assurance statement is signed or submitted by someone other than the unit head (program director, faculty member, other individual)</w:t>
            </w:r>
          </w:p>
          <w:p w:rsidRPr="00F70359" w:rsidR="00F70359" w:rsidP="00F70359" w:rsidRDefault="00F70359" w14:paraId="7C080999" w14:textId="77777777">
            <w:pPr>
              <w:numPr>
                <w:ilvl w:val="0"/>
                <w:numId w:val="17"/>
              </w:numPr>
              <w:contextualSpacing/>
              <w:rPr>
                <w:rFonts w:ascii="Aptos" w:hAnsi="Aptos"/>
                <w:sz w:val="20"/>
                <w:szCs w:val="20"/>
              </w:rPr>
            </w:pPr>
            <w:r w:rsidRPr="00F70359">
              <w:rPr>
                <w:rFonts w:ascii="Aptos" w:hAnsi="Aptos"/>
                <w:i/>
                <w:sz w:val="20"/>
                <w:szCs w:val="20"/>
              </w:rPr>
              <w:t>Assurance statement that lacks language for one or more a-d.</w:t>
            </w:r>
          </w:p>
        </w:tc>
      </w:tr>
    </w:tbl>
    <w:p w:rsidRPr="00F70359" w:rsidR="00B204E1" w:rsidP="00F70359" w:rsidRDefault="00B204E1" w14:paraId="1AED3457" w14:textId="2F077047">
      <w:pPr>
        <w:tabs>
          <w:tab w:val="left" w:pos="923"/>
        </w:tabs>
        <w:spacing w:after="0" w:line="240" w:lineRule="auto"/>
        <w:ind w:left="1183"/>
        <w:contextualSpacing/>
        <w:rPr>
          <w:rFonts w:ascii="Aptos" w:hAnsi="Aptos" w:eastAsia="Calibri" w:cs="Calibri"/>
          <w:color w:val="000000" w:themeColor="text1"/>
          <w:sz w:val="20"/>
          <w:szCs w:val="20"/>
        </w:rPr>
      </w:pPr>
    </w:p>
    <w:p w:rsidRPr="00F70359" w:rsidR="00FA6809" w:rsidP="00F70359" w:rsidRDefault="00FA6809" w14:paraId="7CD79E2C" w14:textId="77777777">
      <w:pPr>
        <w:spacing w:after="0" w:line="240" w:lineRule="auto"/>
        <w:ind w:left="1080"/>
        <w:contextualSpacing/>
        <w:rPr>
          <w:rFonts w:ascii="Aptos" w:hAnsi="Aptos" w:eastAsiaTheme="minorEastAsia"/>
          <w:sz w:val="20"/>
          <w:szCs w:val="20"/>
        </w:rPr>
      </w:pPr>
      <w:r w:rsidRPr="00FA6809">
        <w:rPr>
          <w:rFonts w:ascii="Aptos" w:hAnsi="Aptos" w:eastAsiaTheme="minorEastAsia"/>
          <w:sz w:val="20"/>
          <w:szCs w:val="20"/>
        </w:rPr>
        <w:lastRenderedPageBreak/>
        <w:t>The University of La Verne LaFetra College of Education affirms that it will fulfill all applicable Standards of Program Quality and Effectiveness adopted by the Commission. The institution ensures that all candidates participating in public school-based field activities hold a valid Certificate of Clearance issued by the Commission prior to participation.</w:t>
      </w:r>
    </w:p>
    <w:p w:rsidRPr="00FA6809" w:rsidR="00FA6809" w:rsidP="00F70359" w:rsidRDefault="00FA6809" w14:paraId="59DC2AAC" w14:textId="77777777">
      <w:pPr>
        <w:spacing w:after="0" w:line="240" w:lineRule="auto"/>
        <w:ind w:left="1080"/>
        <w:contextualSpacing/>
        <w:rPr>
          <w:rFonts w:ascii="Aptos" w:hAnsi="Aptos" w:eastAsiaTheme="minorEastAsia"/>
          <w:sz w:val="20"/>
          <w:szCs w:val="20"/>
        </w:rPr>
      </w:pPr>
    </w:p>
    <w:p w:rsidRPr="00F70359" w:rsidR="00FA6809" w:rsidP="00F70359" w:rsidRDefault="00FA6809" w14:paraId="76DBE888" w14:textId="77777777">
      <w:pPr>
        <w:spacing w:after="0" w:line="240" w:lineRule="auto"/>
        <w:ind w:left="1080"/>
        <w:contextualSpacing/>
        <w:rPr>
          <w:rFonts w:ascii="Aptos" w:hAnsi="Aptos" w:eastAsiaTheme="minorEastAsia"/>
          <w:sz w:val="20"/>
          <w:szCs w:val="20"/>
        </w:rPr>
      </w:pPr>
      <w:r w:rsidRPr="00FA6809">
        <w:rPr>
          <w:rFonts w:ascii="Aptos" w:hAnsi="Aptos" w:eastAsiaTheme="minorEastAsia"/>
          <w:sz w:val="20"/>
          <w:szCs w:val="20"/>
        </w:rPr>
        <w:t>The University will cooperate fully in the evaluation of its programs by external review teams and Commission staff and will participate fully in the Commission’s accreditation system, including the timely submission of all required accreditation documents.</w:t>
      </w:r>
    </w:p>
    <w:p w:rsidRPr="00FA6809" w:rsidR="00FA6809" w:rsidP="00F70359" w:rsidRDefault="00FA6809" w14:paraId="26976F99" w14:textId="77777777">
      <w:pPr>
        <w:spacing w:after="0" w:line="240" w:lineRule="auto"/>
        <w:ind w:left="1080"/>
        <w:contextualSpacing/>
        <w:rPr>
          <w:rFonts w:ascii="Aptos" w:hAnsi="Aptos" w:eastAsiaTheme="minorEastAsia"/>
          <w:sz w:val="20"/>
          <w:szCs w:val="20"/>
        </w:rPr>
      </w:pPr>
    </w:p>
    <w:p w:rsidRPr="00FA6809" w:rsidR="00FA6809" w:rsidP="431A1144" w:rsidRDefault="00FA6809" w14:paraId="6D748E7B" w14:textId="593E1462">
      <w:pPr>
        <w:pStyle w:val="Normal"/>
        <w:spacing w:after="0" w:line="240" w:lineRule="auto"/>
        <w:ind w:left="1080"/>
        <w:contextualSpacing w:val="1"/>
        <w:rPr>
          <w:rFonts w:ascii="Aptos" w:hAnsi="Aptos" w:eastAsia="等线" w:eastAsiaTheme="minorEastAsia"/>
          <w:sz w:val="20"/>
          <w:szCs w:val="20"/>
        </w:rPr>
      </w:pPr>
      <w:r w:rsidRPr="431A1144" w:rsidR="00FA6809">
        <w:rPr>
          <w:rFonts w:ascii="Aptos" w:hAnsi="Aptos" w:eastAsia="等线" w:eastAsiaTheme="minorEastAsia"/>
          <w:sz w:val="20"/>
          <w:szCs w:val="20"/>
        </w:rPr>
        <w:t>The College of Education received full approval during the most recent Commission site visit in 2020 and will continue to uphold all Commission standards and requireme</w:t>
      </w:r>
      <w:r w:rsidRPr="431A1144" w:rsidR="00FA6809">
        <w:rPr>
          <w:rFonts w:ascii="Aptos" w:hAnsi="Aptos" w:eastAsia="等线" w:eastAsiaTheme="minorEastAsia"/>
          <w:sz w:val="20"/>
          <w:szCs w:val="20"/>
        </w:rPr>
        <w:t xml:space="preserve">nts. </w:t>
      </w:r>
      <w:r w:rsidRPr="431A1144" w:rsidR="00FA6809">
        <w:rPr>
          <w:rFonts w:ascii="Aptos" w:hAnsi="Aptos" w:eastAsia="等线" w:eastAsiaTheme="minorEastAsia"/>
          <w:sz w:val="20"/>
          <w:szCs w:val="20"/>
        </w:rPr>
        <w:t xml:space="preserve">(See </w:t>
      </w:r>
      <w:hyperlink r:id="R1add55d214dd4778">
        <w:r w:rsidRPr="431A1144" w:rsidR="08BD5337">
          <w:rPr>
            <w:rStyle w:val="Hyperlink"/>
            <w:rFonts w:ascii="Aptos" w:hAnsi="Aptos" w:eastAsia="Times New Roman" w:cs="Times New Roman"/>
            <w:sz w:val="20"/>
            <w:szCs w:val="20"/>
            <w:lang w:eastAsia="zh-CN"/>
          </w:rPr>
          <w:t>Letter of Assurance</w:t>
        </w:r>
      </w:hyperlink>
      <w:r w:rsidRPr="431A1144" w:rsidR="00FA6809">
        <w:rPr>
          <w:rFonts w:ascii="Aptos" w:hAnsi="Aptos" w:eastAsia="等线" w:eastAsiaTheme="minorEastAsia"/>
          <w:sz w:val="20"/>
          <w:szCs w:val="20"/>
        </w:rPr>
        <w:t>)</w:t>
      </w:r>
    </w:p>
    <w:p w:rsidRPr="00F70359" w:rsidR="00B204E1" w:rsidP="00F70359" w:rsidRDefault="00B204E1" w14:paraId="24C070F4" w14:textId="77777777">
      <w:pPr>
        <w:spacing w:after="0" w:line="240" w:lineRule="auto"/>
        <w:contextualSpacing/>
        <w:rPr>
          <w:rFonts w:ascii="Aptos" w:hAnsi="Aptos"/>
          <w:sz w:val="20"/>
          <w:szCs w:val="20"/>
        </w:rPr>
      </w:pPr>
    </w:p>
    <w:p w:rsidRPr="00F70359" w:rsidR="00B204E1" w:rsidP="00F70359" w:rsidRDefault="13A46EB1" w14:paraId="140FC1C3" w14:textId="77777777">
      <w:pPr>
        <w:spacing w:after="0" w:line="240" w:lineRule="auto"/>
        <w:contextualSpacing/>
        <w:rPr>
          <w:rFonts w:ascii="Aptos" w:hAnsi="Aptos"/>
          <w:b/>
          <w:bCs/>
          <w:sz w:val="22"/>
          <w:szCs w:val="22"/>
        </w:rPr>
      </w:pPr>
      <w:r w:rsidRPr="00F70359">
        <w:rPr>
          <w:rFonts w:ascii="Aptos" w:hAnsi="Aptos"/>
          <w:b/>
          <w:bCs/>
          <w:sz w:val="22"/>
          <w:szCs w:val="22"/>
        </w:rPr>
        <w:t>(6) Requests for Data</w:t>
      </w:r>
    </w:p>
    <w:p w:rsidRPr="00F70359" w:rsidR="00B204E1" w:rsidP="00F70359" w:rsidRDefault="13A46EB1" w14:paraId="685C67D7" w14:textId="77777777">
      <w:pPr>
        <w:spacing w:after="0" w:line="240" w:lineRule="auto"/>
        <w:ind w:left="420"/>
        <w:contextualSpacing/>
        <w:rPr>
          <w:rFonts w:ascii="Aptos" w:hAnsi="Aptos" w:eastAsiaTheme="minorEastAsia"/>
          <w:sz w:val="20"/>
          <w:szCs w:val="20"/>
        </w:rPr>
      </w:pPr>
      <w:r w:rsidRPr="00F70359">
        <w:rPr>
          <w:rFonts w:ascii="Aptos" w:hAnsi="Aptos"/>
          <w:sz w:val="20"/>
          <w:szCs w:val="20"/>
        </w:rPr>
        <w:t>To be granted continuing accreditation by the Committee on Accreditation, the entity must identify a qualified officer responsible for reporting and responding to all requests from the Commission for</w:t>
      </w:r>
      <w:r w:rsidRPr="00F70359">
        <w:rPr>
          <w:rFonts w:ascii="Aptos" w:hAnsi="Aptos" w:eastAsiaTheme="minorEastAsia"/>
          <w:sz w:val="20"/>
          <w:szCs w:val="20"/>
        </w:rPr>
        <w:t xml:space="preserve"> data including, but not limited to, program enrollments, program completers, examination results, including performance assessments, and state and federal reporting within the time limits specified by the Commission. Institutional contact information must be updated annually. </w:t>
      </w:r>
    </w:p>
    <w:tbl>
      <w:tblPr>
        <w:tblStyle w:val="TableGrid"/>
        <w:tblpPr w:leftFromText="180" w:rightFromText="180" w:vertAnchor="text" w:horzAnchor="page" w:tblpX="1865" w:tblpY="127"/>
        <w:tblW w:w="0" w:type="auto"/>
        <w:tblLook w:val="04A0" w:firstRow="1" w:lastRow="0" w:firstColumn="1" w:lastColumn="0" w:noHBand="0" w:noVBand="1"/>
      </w:tblPr>
      <w:tblGrid>
        <w:gridCol w:w="9350"/>
      </w:tblGrid>
      <w:tr w:rsidRPr="00F70359" w:rsidR="00FA6809" w:rsidTr="00FA6809" w14:paraId="2CCFB82D" w14:textId="77777777">
        <w:tc>
          <w:tcPr>
            <w:tcW w:w="9350" w:type="dxa"/>
          </w:tcPr>
          <w:p w:rsidRPr="00F70359" w:rsidR="00FA6809" w:rsidP="00F70359" w:rsidRDefault="00FA6809" w14:paraId="28729FBA" w14:textId="77777777">
            <w:pPr>
              <w:contextualSpacing/>
              <w:rPr>
                <w:rFonts w:ascii="Aptos" w:hAnsi="Aptos"/>
                <w:i/>
                <w:sz w:val="20"/>
                <w:szCs w:val="20"/>
              </w:rPr>
            </w:pPr>
            <w:r w:rsidRPr="00F70359">
              <w:rPr>
                <w:rFonts w:ascii="Aptos" w:hAnsi="Aptos"/>
                <w:i/>
                <w:iCs/>
                <w:sz w:val="20"/>
                <w:szCs w:val="20"/>
              </w:rPr>
              <w:t>Examples of </w:t>
            </w:r>
            <w:r w:rsidRPr="00F70359">
              <w:rPr>
                <w:rFonts w:ascii="Aptos" w:hAnsi="Aptos"/>
                <w:b/>
                <w:bCs/>
                <w:i/>
                <w:iCs/>
                <w:sz w:val="20"/>
                <w:szCs w:val="20"/>
              </w:rPr>
              <w:t>Acceptable </w:t>
            </w:r>
            <w:r w:rsidRPr="00F70359">
              <w:rPr>
                <w:rFonts w:ascii="Aptos" w:hAnsi="Aptos"/>
                <w:i/>
                <w:iCs/>
                <w:sz w:val="20"/>
                <w:szCs w:val="20"/>
              </w:rPr>
              <w:t>Evidence</w:t>
            </w:r>
          </w:p>
          <w:p w:rsidRPr="00F70359" w:rsidR="00FA6809" w:rsidP="00F70359" w:rsidRDefault="00FA6809" w14:paraId="50667B23" w14:textId="77777777">
            <w:pPr>
              <w:numPr>
                <w:ilvl w:val="0"/>
                <w:numId w:val="18"/>
              </w:numPr>
              <w:contextualSpacing/>
              <w:rPr>
                <w:rFonts w:ascii="Aptos" w:hAnsi="Aptos"/>
                <w:i/>
                <w:sz w:val="20"/>
                <w:szCs w:val="20"/>
              </w:rPr>
            </w:pPr>
            <w:r w:rsidRPr="00F70359">
              <w:rPr>
                <w:rFonts w:ascii="Aptos" w:hAnsi="Aptos"/>
                <w:i/>
                <w:sz w:val="20"/>
                <w:szCs w:val="20"/>
              </w:rPr>
              <w:t>Identification of the person (name and title) for reporting and responding to all requests from the Commission for data.</w:t>
            </w:r>
          </w:p>
          <w:p w:rsidRPr="00F70359" w:rsidR="00FA6809" w:rsidP="00F70359" w:rsidRDefault="00FA6809" w14:paraId="068EBC05" w14:textId="77777777">
            <w:pPr>
              <w:numPr>
                <w:ilvl w:val="0"/>
                <w:numId w:val="18"/>
              </w:numPr>
              <w:contextualSpacing/>
              <w:rPr>
                <w:rFonts w:ascii="Aptos" w:hAnsi="Aptos"/>
                <w:sz w:val="20"/>
                <w:szCs w:val="20"/>
              </w:rPr>
            </w:pPr>
            <w:r w:rsidRPr="00F70359">
              <w:rPr>
                <w:rFonts w:ascii="Aptos" w:hAnsi="Aptos"/>
                <w:i/>
                <w:sz w:val="20"/>
                <w:szCs w:val="20"/>
              </w:rPr>
              <w:t>Assurance statement that the institution understands that it is its responsibility to check the contact information listed on the Commission’s approved programs page and to make any necessary updates at least on an annual basis.</w:t>
            </w:r>
          </w:p>
        </w:tc>
      </w:tr>
    </w:tbl>
    <w:p w:rsidRPr="00F70359" w:rsidR="00B204E1" w:rsidP="00F70359" w:rsidRDefault="00B204E1" w14:paraId="0BD316EF" w14:textId="355C8E67">
      <w:pPr>
        <w:spacing w:after="0" w:line="240" w:lineRule="auto"/>
        <w:contextualSpacing/>
        <w:rPr>
          <w:rFonts w:ascii="Aptos" w:hAnsi="Aptos" w:eastAsiaTheme="minorEastAsia"/>
          <w:sz w:val="20"/>
          <w:szCs w:val="20"/>
        </w:rPr>
      </w:pPr>
    </w:p>
    <w:p w:rsidR="00924116" w:rsidP="00924116" w:rsidRDefault="00924116" w14:paraId="2CE5080D" w14:textId="77777777">
      <w:pPr>
        <w:spacing w:after="0" w:line="240" w:lineRule="auto"/>
        <w:ind w:left="720"/>
        <w:contextualSpacing/>
        <w:rPr>
          <w:rFonts w:ascii="Aptos" w:hAnsi="Aptos" w:eastAsiaTheme="minorEastAsia"/>
          <w:sz w:val="20"/>
          <w:szCs w:val="20"/>
        </w:rPr>
      </w:pPr>
      <w:r w:rsidRPr="00924116">
        <w:rPr>
          <w:rFonts w:ascii="Aptos" w:hAnsi="Aptos" w:eastAsiaTheme="minorEastAsia"/>
          <w:sz w:val="20"/>
          <w:szCs w:val="20"/>
        </w:rPr>
        <w:t>The LaFetra College of Education maintains an Assessment Department that carries out all unit-wide assessment system operations, including compliance, training, program improvement, data entry, and reporting functions such as state assessment data and program outcomes.</w:t>
      </w:r>
    </w:p>
    <w:p w:rsidRPr="00924116" w:rsidR="00924116" w:rsidP="00924116" w:rsidRDefault="00924116" w14:paraId="48C05403" w14:textId="77777777">
      <w:pPr>
        <w:spacing w:after="0" w:line="240" w:lineRule="auto"/>
        <w:ind w:left="720"/>
        <w:contextualSpacing/>
        <w:rPr>
          <w:rFonts w:ascii="Aptos" w:hAnsi="Aptos" w:eastAsiaTheme="minorEastAsia"/>
          <w:sz w:val="20"/>
          <w:szCs w:val="20"/>
        </w:rPr>
      </w:pPr>
    </w:p>
    <w:p w:rsidR="00924116" w:rsidP="25866766" w:rsidRDefault="00924116" w14:paraId="6972ABB8" w14:textId="08E6C60C">
      <w:pPr>
        <w:spacing w:after="0" w:line="240" w:lineRule="auto"/>
        <w:ind w:left="720"/>
        <w:contextualSpacing w:val="1"/>
        <w:rPr>
          <w:rFonts w:ascii="Aptos" w:hAnsi="Aptos" w:eastAsia="等线" w:eastAsiaTheme="minorEastAsia"/>
          <w:sz w:val="20"/>
          <w:szCs w:val="20"/>
        </w:rPr>
      </w:pPr>
      <w:r w:rsidRPr="25866766" w:rsidR="00924116">
        <w:rPr>
          <w:rFonts w:ascii="Aptos" w:hAnsi="Aptos" w:eastAsia="等线" w:eastAsiaTheme="minorEastAsia"/>
          <w:sz w:val="20"/>
          <w:szCs w:val="20"/>
        </w:rPr>
        <w:t>The Director of Continuous Improvement</w:t>
      </w:r>
      <w:r w:rsidRPr="25866766" w:rsidR="3AF805F9">
        <w:rPr>
          <w:rFonts w:ascii="Aptos" w:hAnsi="Aptos" w:eastAsia="等线" w:eastAsiaTheme="minorEastAsia"/>
          <w:sz w:val="20"/>
          <w:szCs w:val="20"/>
        </w:rPr>
        <w:t xml:space="preserve">, Juli Johnson, </w:t>
      </w:r>
      <w:r w:rsidRPr="25866766" w:rsidR="00924116">
        <w:rPr>
          <w:rFonts w:ascii="Aptos" w:hAnsi="Aptos" w:eastAsia="等线" w:eastAsiaTheme="minorEastAsia"/>
          <w:sz w:val="20"/>
          <w:szCs w:val="20"/>
        </w:rPr>
        <w:t>serves as the qualified officer responsible for reporting and responding to all requests from the Commission for data, including program enrollments, program completers, examination results, performance assessments, and state and federal reporting within required timelines. This work is conducted in coordination with Credential Analysts and program personnel to ensure accuracy and compliance.</w:t>
      </w:r>
    </w:p>
    <w:p w:rsidRPr="00924116" w:rsidR="00924116" w:rsidP="00924116" w:rsidRDefault="00924116" w14:paraId="30B7D31E" w14:textId="77777777">
      <w:pPr>
        <w:spacing w:after="0" w:line="240" w:lineRule="auto"/>
        <w:ind w:left="720"/>
        <w:contextualSpacing/>
        <w:rPr>
          <w:rFonts w:ascii="Aptos" w:hAnsi="Aptos" w:eastAsiaTheme="minorEastAsia"/>
          <w:sz w:val="20"/>
          <w:szCs w:val="20"/>
        </w:rPr>
      </w:pPr>
    </w:p>
    <w:p w:rsidRPr="00924116" w:rsidR="00924116" w:rsidP="431A1144" w:rsidRDefault="00924116" w14:paraId="6F32993E" w14:textId="66788B79">
      <w:pPr>
        <w:pStyle w:val="Normal"/>
        <w:spacing w:after="0" w:line="240" w:lineRule="auto"/>
        <w:ind w:left="720"/>
        <w:contextualSpacing w:val="1"/>
        <w:rPr>
          <w:rFonts w:ascii="Aptos" w:hAnsi="Aptos" w:eastAsia="等线" w:eastAsiaTheme="minorEastAsia"/>
          <w:sz w:val="20"/>
          <w:szCs w:val="20"/>
        </w:rPr>
      </w:pPr>
      <w:r w:rsidRPr="431A1144" w:rsidR="00924116">
        <w:rPr>
          <w:rFonts w:ascii="Aptos" w:hAnsi="Aptos" w:eastAsia="等线" w:eastAsiaTheme="minorEastAsia"/>
          <w:sz w:val="20"/>
          <w:szCs w:val="20"/>
        </w:rPr>
        <w:t xml:space="preserve">The University of La Verne ensures that institutional contact information listed on the Commission’s approved programs page is reviewed and updated at least annually to </w:t>
      </w:r>
      <w:r w:rsidRPr="431A1144" w:rsidR="00924116">
        <w:rPr>
          <w:rFonts w:ascii="Aptos" w:hAnsi="Aptos" w:eastAsia="等线" w:eastAsiaTheme="minorEastAsia"/>
          <w:sz w:val="20"/>
          <w:szCs w:val="20"/>
        </w:rPr>
        <w:t>maintain</w:t>
      </w:r>
      <w:r w:rsidRPr="431A1144" w:rsidR="00924116">
        <w:rPr>
          <w:rFonts w:ascii="Aptos" w:hAnsi="Aptos" w:eastAsia="等线" w:eastAsiaTheme="minorEastAsia"/>
          <w:sz w:val="20"/>
          <w:szCs w:val="20"/>
        </w:rPr>
        <w:t xml:space="preserve"> accuracy and compliance with Commission requirements, as affirmed in the </w:t>
      </w:r>
      <w:hyperlink r:id="Rc084bf7c16d24703">
        <w:r w:rsidRPr="431A1144" w:rsidR="712A225B">
          <w:rPr>
            <w:rStyle w:val="Hyperlink"/>
            <w:rFonts w:ascii="Aptos" w:hAnsi="Aptos" w:eastAsia="Times New Roman" w:cs="Times New Roman"/>
            <w:sz w:val="20"/>
            <w:szCs w:val="20"/>
            <w:lang w:eastAsia="zh-CN"/>
          </w:rPr>
          <w:t>Letter of Assurance</w:t>
        </w:r>
      </w:hyperlink>
      <w:r w:rsidRPr="431A1144" w:rsidR="00924116">
        <w:rPr>
          <w:rFonts w:ascii="Aptos" w:hAnsi="Aptos" w:eastAsia="等线" w:eastAsiaTheme="minorEastAsia"/>
          <w:sz w:val="20"/>
          <w:szCs w:val="20"/>
        </w:rPr>
        <w:t>.</w:t>
      </w:r>
    </w:p>
    <w:p w:rsidRPr="00F70359" w:rsidR="00B204E1" w:rsidP="00F70359" w:rsidRDefault="00B204E1" w14:paraId="4DDB68D7" w14:textId="22F7411A">
      <w:pPr>
        <w:spacing w:after="0" w:line="240" w:lineRule="auto"/>
        <w:contextualSpacing/>
        <w:rPr>
          <w:rFonts w:ascii="Aptos" w:hAnsi="Aptos"/>
          <w:b/>
          <w:bCs/>
          <w:sz w:val="20"/>
          <w:szCs w:val="20"/>
        </w:rPr>
      </w:pPr>
    </w:p>
    <w:p w:rsidRPr="00F70359" w:rsidR="00B204E1" w:rsidP="00F70359" w:rsidRDefault="565197E0" w14:paraId="13F4E9D5" w14:textId="77777777">
      <w:pPr>
        <w:spacing w:after="0" w:line="240" w:lineRule="auto"/>
        <w:contextualSpacing/>
        <w:rPr>
          <w:rFonts w:ascii="Aptos" w:hAnsi="Aptos"/>
          <w:b/>
          <w:bCs/>
          <w:sz w:val="22"/>
          <w:szCs w:val="22"/>
        </w:rPr>
      </w:pPr>
      <w:r w:rsidRPr="00F70359">
        <w:rPr>
          <w:rFonts w:ascii="Aptos" w:hAnsi="Aptos"/>
          <w:b/>
          <w:bCs/>
          <w:sz w:val="22"/>
          <w:szCs w:val="22"/>
        </w:rPr>
        <w:t>(7) Veracity in all Claims and Documentation Submitted.</w:t>
      </w:r>
    </w:p>
    <w:p w:rsidRPr="00F70359" w:rsidR="00B204E1" w:rsidP="00F70359" w:rsidRDefault="565197E0" w14:paraId="0D64A954" w14:textId="77777777">
      <w:pPr>
        <w:spacing w:after="0" w:line="240" w:lineRule="auto"/>
        <w:ind w:left="420"/>
        <w:contextualSpacing/>
        <w:rPr>
          <w:rFonts w:ascii="Aptos" w:hAnsi="Aptos" w:eastAsiaTheme="minorEastAsia"/>
          <w:sz w:val="20"/>
          <w:szCs w:val="20"/>
        </w:rPr>
      </w:pPr>
      <w:r w:rsidRPr="00F70359">
        <w:rPr>
          <w:rFonts w:ascii="Aptos" w:hAnsi="Aptos"/>
          <w:sz w:val="20"/>
          <w:szCs w:val="20"/>
        </w:rPr>
        <w:t xml:space="preserve">To be granted continuing accreditation by the Committee on Accreditation, the entity must positively </w:t>
      </w:r>
      <w:r w:rsidRPr="00F70359">
        <w:rPr>
          <w:rFonts w:ascii="Aptos" w:hAnsi="Aptos" w:eastAsiaTheme="minorEastAsia"/>
          <w:sz w:val="20"/>
          <w:szCs w:val="20"/>
        </w:rPr>
        <w:t>affirm the veracity of all statements and documentation submitted to the Commission. </w:t>
      </w:r>
    </w:p>
    <w:tbl>
      <w:tblPr>
        <w:tblStyle w:val="TableGrid"/>
        <w:tblpPr w:leftFromText="180" w:rightFromText="180" w:vertAnchor="text" w:horzAnchor="page" w:tblpX="1873" w:tblpY="65"/>
        <w:tblW w:w="0" w:type="auto"/>
        <w:tblLook w:val="04A0" w:firstRow="1" w:lastRow="0" w:firstColumn="1" w:lastColumn="0" w:noHBand="0" w:noVBand="1"/>
      </w:tblPr>
      <w:tblGrid>
        <w:gridCol w:w="9350"/>
      </w:tblGrid>
      <w:tr w:rsidRPr="00F70359" w:rsidR="00FA6809" w:rsidTr="00FA6809" w14:paraId="600AFDF4" w14:textId="77777777">
        <w:tc>
          <w:tcPr>
            <w:tcW w:w="9350" w:type="dxa"/>
          </w:tcPr>
          <w:p w:rsidRPr="00F70359" w:rsidR="00FA6809" w:rsidP="00F70359" w:rsidRDefault="00FA6809" w14:paraId="1D526CF0" w14:textId="77777777">
            <w:pPr>
              <w:contextualSpacing/>
              <w:rPr>
                <w:rFonts w:ascii="Aptos" w:hAnsi="Aptos"/>
                <w:i/>
                <w:sz w:val="20"/>
                <w:szCs w:val="20"/>
              </w:rPr>
            </w:pPr>
            <w:r w:rsidRPr="00F70359">
              <w:rPr>
                <w:rFonts w:ascii="Aptos" w:hAnsi="Aptos"/>
                <w:i/>
                <w:iCs/>
                <w:sz w:val="20"/>
                <w:szCs w:val="20"/>
              </w:rPr>
              <w:t>Examples of </w:t>
            </w:r>
            <w:r w:rsidRPr="00F70359">
              <w:rPr>
                <w:rFonts w:ascii="Aptos" w:hAnsi="Aptos"/>
                <w:b/>
                <w:bCs/>
                <w:i/>
                <w:iCs/>
                <w:sz w:val="20"/>
                <w:szCs w:val="20"/>
              </w:rPr>
              <w:t>Acceptable </w:t>
            </w:r>
            <w:r w:rsidRPr="00F70359">
              <w:rPr>
                <w:rFonts w:ascii="Aptos" w:hAnsi="Aptos"/>
                <w:i/>
                <w:iCs/>
                <w:sz w:val="20"/>
                <w:szCs w:val="20"/>
              </w:rPr>
              <w:t>Evidence</w:t>
            </w:r>
          </w:p>
          <w:p w:rsidRPr="00F70359" w:rsidR="00FA6809" w:rsidP="00F70359" w:rsidRDefault="00FA6809" w14:paraId="7E29ED7A" w14:textId="77777777">
            <w:pPr>
              <w:numPr>
                <w:ilvl w:val="0"/>
                <w:numId w:val="19"/>
              </w:numPr>
              <w:contextualSpacing/>
              <w:rPr>
                <w:rFonts w:ascii="Aptos" w:hAnsi="Aptos"/>
                <w:i/>
                <w:sz w:val="20"/>
                <w:szCs w:val="20"/>
              </w:rPr>
            </w:pPr>
            <w:r w:rsidRPr="00F70359">
              <w:rPr>
                <w:rFonts w:ascii="Aptos" w:hAnsi="Aptos"/>
                <w:i/>
                <w:sz w:val="20"/>
                <w:szCs w:val="20"/>
              </w:rPr>
              <w:t>A statement signed by institutional leadership (Unit Head) that all statements, documents, and information provided to the Commission by the institution is accurate and truthful.</w:t>
            </w:r>
          </w:p>
          <w:p w:rsidRPr="00F70359" w:rsidR="00FA6809" w:rsidP="00F70359" w:rsidRDefault="00FA6809" w14:paraId="29886DAA" w14:textId="77777777">
            <w:pPr>
              <w:contextualSpacing/>
              <w:rPr>
                <w:rFonts w:ascii="Aptos" w:hAnsi="Aptos"/>
                <w:i/>
                <w:sz w:val="20"/>
                <w:szCs w:val="20"/>
              </w:rPr>
            </w:pPr>
            <w:r w:rsidRPr="00F70359">
              <w:rPr>
                <w:rFonts w:ascii="Aptos" w:hAnsi="Aptos"/>
                <w:i/>
                <w:iCs/>
                <w:sz w:val="20"/>
                <w:szCs w:val="20"/>
              </w:rPr>
              <w:t>Examples of </w:t>
            </w:r>
            <w:r w:rsidRPr="00F70359">
              <w:rPr>
                <w:rFonts w:ascii="Aptos" w:hAnsi="Aptos"/>
                <w:b/>
                <w:bCs/>
                <w:i/>
                <w:iCs/>
                <w:sz w:val="20"/>
                <w:szCs w:val="20"/>
              </w:rPr>
              <w:t>Insufficient </w:t>
            </w:r>
            <w:r w:rsidRPr="00F70359">
              <w:rPr>
                <w:rFonts w:ascii="Aptos" w:hAnsi="Aptos"/>
                <w:i/>
                <w:iCs/>
                <w:sz w:val="20"/>
                <w:szCs w:val="20"/>
              </w:rPr>
              <w:t>Evidence:</w:t>
            </w:r>
          </w:p>
          <w:p w:rsidRPr="00F70359" w:rsidR="00FA6809" w:rsidP="00F70359" w:rsidRDefault="00FA6809" w14:paraId="71E3CE79" w14:textId="77777777">
            <w:pPr>
              <w:numPr>
                <w:ilvl w:val="0"/>
                <w:numId w:val="20"/>
              </w:numPr>
              <w:contextualSpacing/>
              <w:rPr>
                <w:rFonts w:ascii="Aptos" w:hAnsi="Aptos"/>
                <w:i/>
                <w:sz w:val="20"/>
                <w:szCs w:val="20"/>
              </w:rPr>
            </w:pPr>
            <w:r w:rsidRPr="00F70359">
              <w:rPr>
                <w:rFonts w:ascii="Aptos" w:hAnsi="Aptos"/>
                <w:i/>
                <w:sz w:val="20"/>
                <w:szCs w:val="20"/>
              </w:rPr>
              <w:t>A statement that is provided by someone other than institutional leadership (Unit Head).</w:t>
            </w:r>
          </w:p>
          <w:p w:rsidRPr="00F70359" w:rsidR="00FA6809" w:rsidP="00F70359" w:rsidRDefault="00FA6809" w14:paraId="4B74EF3E" w14:textId="77777777">
            <w:pPr>
              <w:numPr>
                <w:ilvl w:val="0"/>
                <w:numId w:val="20"/>
              </w:numPr>
              <w:contextualSpacing/>
              <w:rPr>
                <w:rFonts w:ascii="Aptos" w:hAnsi="Aptos"/>
                <w:sz w:val="20"/>
                <w:szCs w:val="20"/>
              </w:rPr>
            </w:pPr>
            <w:r w:rsidRPr="00F70359">
              <w:rPr>
                <w:rFonts w:ascii="Aptos" w:hAnsi="Aptos"/>
                <w:i/>
                <w:sz w:val="20"/>
                <w:szCs w:val="20"/>
              </w:rPr>
              <w:t>A statement that does not address veracity.</w:t>
            </w:r>
          </w:p>
        </w:tc>
      </w:tr>
    </w:tbl>
    <w:p w:rsidRPr="00F70359" w:rsidR="00B204E1" w:rsidP="00F70359" w:rsidRDefault="00B204E1" w14:paraId="09DEA9D7" w14:textId="3C01F79F">
      <w:pPr>
        <w:spacing w:after="0" w:line="240" w:lineRule="auto"/>
        <w:contextualSpacing/>
        <w:rPr>
          <w:rFonts w:ascii="Aptos" w:hAnsi="Aptos" w:eastAsiaTheme="minorEastAsia"/>
          <w:sz w:val="20"/>
          <w:szCs w:val="20"/>
        </w:rPr>
      </w:pPr>
    </w:p>
    <w:p w:rsidR="00B204E1" w:rsidP="431A1144" w:rsidRDefault="00FC03A7" w14:paraId="6E29BF77" w14:textId="0495C6D4">
      <w:pPr>
        <w:pStyle w:val="Normal"/>
        <w:spacing w:after="0" w:line="240" w:lineRule="auto"/>
        <w:ind w:left="720"/>
        <w:contextualSpacing w:val="1"/>
        <w:rPr>
          <w:rFonts w:ascii="Aptos" w:hAnsi="Aptos" w:eastAsia="等线" w:eastAsiaTheme="minorEastAsia"/>
          <w:b w:val="1"/>
          <w:bCs w:val="1"/>
          <w:sz w:val="20"/>
          <w:szCs w:val="20"/>
        </w:rPr>
      </w:pPr>
      <w:r w:rsidRPr="431A1144" w:rsidR="00FC03A7">
        <w:rPr>
          <w:rFonts w:ascii="Aptos" w:hAnsi="Aptos" w:eastAsia="等线" w:eastAsiaTheme="minorEastAsia"/>
          <w:sz w:val="20"/>
          <w:szCs w:val="20"/>
        </w:rPr>
        <w:t xml:space="preserve">The LaFetra College of Education affirms the veracity of all statements, documents, and information </w:t>
      </w:r>
      <w:r w:rsidRPr="431A1144" w:rsidR="00FC03A7">
        <w:rPr>
          <w:rFonts w:ascii="Aptos" w:hAnsi="Aptos" w:eastAsia="等线" w:eastAsiaTheme="minorEastAsia"/>
          <w:sz w:val="20"/>
          <w:szCs w:val="20"/>
        </w:rPr>
        <w:t>submitted</w:t>
      </w:r>
      <w:r w:rsidRPr="431A1144" w:rsidR="00FC03A7">
        <w:rPr>
          <w:rFonts w:ascii="Aptos" w:hAnsi="Aptos" w:eastAsia="等线" w:eastAsiaTheme="minorEastAsia"/>
          <w:sz w:val="20"/>
          <w:szCs w:val="20"/>
        </w:rPr>
        <w:t xml:space="preserve"> to the Commission and ensures that all materials provided are </w:t>
      </w:r>
      <w:r w:rsidRPr="431A1144" w:rsidR="00FC03A7">
        <w:rPr>
          <w:rFonts w:ascii="Aptos" w:hAnsi="Aptos" w:eastAsia="等线" w:eastAsiaTheme="minorEastAsia"/>
          <w:sz w:val="20"/>
          <w:szCs w:val="20"/>
        </w:rPr>
        <w:t>accurate</w:t>
      </w:r>
      <w:r w:rsidRPr="431A1144" w:rsidR="00FC03A7">
        <w:rPr>
          <w:rFonts w:ascii="Aptos" w:hAnsi="Aptos" w:eastAsia="等线" w:eastAsiaTheme="minorEastAsia"/>
          <w:sz w:val="20"/>
          <w:szCs w:val="20"/>
        </w:rPr>
        <w:t xml:space="preserve">, complete, and truthful. This affirmation is made by </w:t>
      </w:r>
      <w:r w:rsidRPr="431A1144" w:rsidR="00FC03A7">
        <w:rPr>
          <w:rFonts w:ascii="Aptos" w:hAnsi="Aptos" w:eastAsia="等线" w:eastAsiaTheme="minorEastAsia"/>
          <w:sz w:val="20"/>
          <w:szCs w:val="20"/>
        </w:rPr>
        <w:t>College</w:t>
      </w:r>
      <w:r w:rsidRPr="431A1144" w:rsidR="00FC03A7">
        <w:rPr>
          <w:rFonts w:ascii="Aptos" w:hAnsi="Aptos" w:eastAsia="等线" w:eastAsiaTheme="minorEastAsia"/>
          <w:sz w:val="20"/>
          <w:szCs w:val="20"/>
        </w:rPr>
        <w:t xml:space="preserve"> </w:t>
      </w:r>
      <w:r w:rsidRPr="431A1144" w:rsidR="00FC03A7">
        <w:rPr>
          <w:rFonts w:ascii="Aptos" w:hAnsi="Aptos" w:eastAsia="等线" w:eastAsiaTheme="minorEastAsia"/>
          <w:sz w:val="20"/>
          <w:szCs w:val="20"/>
        </w:rPr>
        <w:t>leadership</w:t>
      </w:r>
      <w:r w:rsidRPr="431A1144" w:rsidR="00FC03A7">
        <w:rPr>
          <w:rFonts w:ascii="Aptos" w:hAnsi="Aptos" w:eastAsia="等线" w:eastAsiaTheme="minorEastAsia"/>
          <w:sz w:val="20"/>
          <w:szCs w:val="20"/>
        </w:rPr>
        <w:t xml:space="preserve"> (Unit Head) </w:t>
      </w:r>
      <w:r w:rsidRPr="431A1144" w:rsidR="00FC03A7">
        <w:rPr>
          <w:rFonts w:ascii="Aptos" w:hAnsi="Aptos" w:eastAsia="等线" w:eastAsiaTheme="minorEastAsia"/>
          <w:sz w:val="20"/>
          <w:szCs w:val="20"/>
        </w:rPr>
        <w:t>in accordance with</w:t>
      </w:r>
      <w:r w:rsidRPr="431A1144" w:rsidR="00FC03A7">
        <w:rPr>
          <w:rFonts w:ascii="Aptos" w:hAnsi="Aptos" w:eastAsia="等线" w:eastAsiaTheme="minorEastAsia"/>
          <w:sz w:val="20"/>
          <w:szCs w:val="20"/>
        </w:rPr>
        <w:t xml:space="preserve"> Commission requirements and is documented in the </w:t>
      </w:r>
      <w:hyperlink r:id="Re35e8f91187c44ff">
        <w:r w:rsidRPr="431A1144" w:rsidR="765DCC2A">
          <w:rPr>
            <w:rStyle w:val="Hyperlink"/>
            <w:rFonts w:ascii="Aptos" w:hAnsi="Aptos" w:eastAsia="Times New Roman" w:cs="Times New Roman"/>
            <w:sz w:val="20"/>
            <w:szCs w:val="20"/>
            <w:lang w:eastAsia="zh-CN"/>
          </w:rPr>
          <w:t>Letter of Assurance</w:t>
        </w:r>
      </w:hyperlink>
      <w:r w:rsidRPr="431A1144" w:rsidR="00FC03A7">
        <w:rPr>
          <w:rFonts w:ascii="Aptos" w:hAnsi="Aptos" w:eastAsia="等线" w:eastAsiaTheme="minorEastAsia"/>
          <w:sz w:val="20"/>
          <w:szCs w:val="20"/>
        </w:rPr>
        <w:t>.</w:t>
      </w:r>
    </w:p>
    <w:p w:rsidRPr="00F70359" w:rsidR="00FC03A7" w:rsidP="00FC03A7" w:rsidRDefault="00FC03A7" w14:paraId="0EBF467B" w14:textId="77777777">
      <w:pPr>
        <w:spacing w:after="0" w:line="240" w:lineRule="auto"/>
        <w:ind w:left="720"/>
        <w:contextualSpacing/>
        <w:rPr>
          <w:rFonts w:ascii="Aptos" w:hAnsi="Aptos"/>
          <w:sz w:val="20"/>
          <w:szCs w:val="20"/>
        </w:rPr>
      </w:pPr>
    </w:p>
    <w:p w:rsidRPr="00F70359" w:rsidR="00B204E1" w:rsidP="00F70359" w:rsidRDefault="73EC749A" w14:paraId="14F9AD67" w14:textId="77777777">
      <w:pPr>
        <w:spacing w:after="0" w:line="240" w:lineRule="auto"/>
        <w:contextualSpacing/>
        <w:rPr>
          <w:rFonts w:ascii="Aptos" w:hAnsi="Aptos"/>
          <w:b/>
          <w:bCs/>
          <w:sz w:val="22"/>
          <w:szCs w:val="22"/>
        </w:rPr>
      </w:pPr>
      <w:r w:rsidRPr="00F70359">
        <w:rPr>
          <w:rFonts w:ascii="Aptos" w:hAnsi="Aptos"/>
          <w:b/>
          <w:bCs/>
          <w:sz w:val="22"/>
          <w:szCs w:val="22"/>
        </w:rPr>
        <w:t>(8) Grievance Process.</w:t>
      </w:r>
    </w:p>
    <w:p w:rsidRPr="00F70359" w:rsidR="00B204E1" w:rsidP="00F70359" w:rsidRDefault="73EC749A" w14:paraId="6AD434F9" w14:textId="11F80BA6">
      <w:pPr>
        <w:spacing w:after="0" w:line="240" w:lineRule="auto"/>
        <w:ind w:left="420"/>
        <w:contextualSpacing/>
        <w:rPr>
          <w:rFonts w:ascii="Aptos" w:hAnsi="Aptos" w:eastAsiaTheme="minorEastAsia"/>
          <w:sz w:val="20"/>
          <w:szCs w:val="20"/>
        </w:rPr>
      </w:pPr>
      <w:r w:rsidRPr="00F70359">
        <w:rPr>
          <w:rFonts w:ascii="Aptos" w:hAnsi="Aptos"/>
          <w:sz w:val="20"/>
          <w:szCs w:val="20"/>
        </w:rPr>
        <w:t xml:space="preserve">To be granted continuing accreditation by the Committee on Accreditation, the approved program sponsor must have a clearly delineated grievance process for candidates and applicants. The grievance process information must be accessible to all candidates and </w:t>
      </w:r>
      <w:proofErr w:type="gramStart"/>
      <w:r w:rsidRPr="00F70359">
        <w:rPr>
          <w:rFonts w:ascii="Aptos" w:hAnsi="Aptos"/>
          <w:sz w:val="20"/>
          <w:szCs w:val="20"/>
        </w:rPr>
        <w:t>applicants</w:t>
      </w:r>
      <w:proofErr w:type="gramEnd"/>
      <w:r w:rsidRPr="00F70359">
        <w:rPr>
          <w:rFonts w:ascii="Aptos" w:hAnsi="Aptos"/>
          <w:sz w:val="20"/>
          <w:szCs w:val="20"/>
        </w:rPr>
        <w:t xml:space="preserve"> and the institution must be prepared to provide documentation that candidates </w:t>
      </w:r>
      <w:r w:rsidRPr="00F70359">
        <w:rPr>
          <w:rFonts w:ascii="Aptos" w:hAnsi="Aptos" w:eastAsiaTheme="minorEastAsia"/>
          <w:sz w:val="20"/>
          <w:szCs w:val="20"/>
        </w:rPr>
        <w:t>have been informed of the grievance process and that the process has been followed. </w:t>
      </w:r>
    </w:p>
    <w:p w:rsidRPr="00F70359" w:rsidR="00F70359" w:rsidP="00F70359" w:rsidRDefault="00F70359" w14:paraId="28196186" w14:textId="77777777">
      <w:pPr>
        <w:spacing w:after="0" w:line="240" w:lineRule="auto"/>
        <w:ind w:left="420"/>
        <w:contextualSpacing/>
        <w:rPr>
          <w:rFonts w:ascii="Aptos" w:hAnsi="Aptos" w:eastAsiaTheme="minorEastAsia"/>
          <w:sz w:val="20"/>
          <w:szCs w:val="20"/>
        </w:rPr>
      </w:pPr>
    </w:p>
    <w:tbl>
      <w:tblPr>
        <w:tblStyle w:val="TableGrid"/>
        <w:tblpPr w:leftFromText="180" w:rightFromText="180" w:vertAnchor="text" w:horzAnchor="margin" w:tblpX="445" w:tblpY="23"/>
        <w:tblW w:w="0" w:type="auto"/>
        <w:tblLook w:val="04A0" w:firstRow="1" w:lastRow="0" w:firstColumn="1" w:lastColumn="0" w:noHBand="0" w:noVBand="1"/>
      </w:tblPr>
      <w:tblGrid>
        <w:gridCol w:w="8905"/>
      </w:tblGrid>
      <w:tr w:rsidRPr="00F70359" w:rsidR="007A4D01" w:rsidTr="007A4D01" w14:paraId="65B0F1ED" w14:textId="77777777">
        <w:tc>
          <w:tcPr>
            <w:tcW w:w="8905" w:type="dxa"/>
          </w:tcPr>
          <w:p w:rsidRPr="00F70359" w:rsidR="007A4D01" w:rsidP="00F70359" w:rsidRDefault="007A4D01" w14:paraId="376F1A79" w14:textId="77777777">
            <w:pPr>
              <w:contextualSpacing/>
              <w:rPr>
                <w:rFonts w:ascii="Aptos" w:hAnsi="Aptos"/>
                <w:i/>
                <w:sz w:val="20"/>
                <w:szCs w:val="20"/>
              </w:rPr>
            </w:pPr>
            <w:r w:rsidRPr="00F70359">
              <w:rPr>
                <w:rFonts w:ascii="Aptos" w:hAnsi="Aptos"/>
                <w:i/>
                <w:iCs/>
                <w:sz w:val="20"/>
                <w:szCs w:val="20"/>
              </w:rPr>
              <w:t>Examples of </w:t>
            </w:r>
            <w:r w:rsidRPr="00F70359">
              <w:rPr>
                <w:rFonts w:ascii="Aptos" w:hAnsi="Aptos"/>
                <w:b/>
                <w:bCs/>
                <w:i/>
                <w:iCs/>
                <w:sz w:val="20"/>
                <w:szCs w:val="20"/>
              </w:rPr>
              <w:t>Acceptable </w:t>
            </w:r>
            <w:r w:rsidRPr="00F70359">
              <w:rPr>
                <w:rFonts w:ascii="Aptos" w:hAnsi="Aptos"/>
                <w:i/>
                <w:iCs/>
                <w:sz w:val="20"/>
                <w:szCs w:val="20"/>
              </w:rPr>
              <w:t>Evidence</w:t>
            </w:r>
          </w:p>
          <w:p w:rsidRPr="00F70359" w:rsidR="007A4D01" w:rsidP="00F70359" w:rsidRDefault="007A4D01" w14:paraId="3C5756A5" w14:textId="77777777">
            <w:pPr>
              <w:numPr>
                <w:ilvl w:val="0"/>
                <w:numId w:val="21"/>
              </w:numPr>
              <w:contextualSpacing/>
              <w:rPr>
                <w:rFonts w:ascii="Aptos" w:hAnsi="Aptos"/>
                <w:i/>
                <w:sz w:val="20"/>
                <w:szCs w:val="20"/>
              </w:rPr>
            </w:pPr>
            <w:r w:rsidRPr="00F70359">
              <w:rPr>
                <w:rFonts w:ascii="Aptos" w:hAnsi="Aptos"/>
                <w:i/>
                <w:sz w:val="20"/>
                <w:szCs w:val="20"/>
              </w:rPr>
              <w:t>Copies of or links to the institution’s grievance process for candidates and applicants.</w:t>
            </w:r>
          </w:p>
          <w:p w:rsidRPr="00F70359" w:rsidR="007A4D01" w:rsidP="00F70359" w:rsidRDefault="007A4D01" w14:paraId="7DA3C4BD" w14:textId="77777777">
            <w:pPr>
              <w:numPr>
                <w:ilvl w:val="0"/>
                <w:numId w:val="21"/>
              </w:numPr>
              <w:contextualSpacing/>
              <w:rPr>
                <w:rFonts w:ascii="Aptos" w:hAnsi="Aptos"/>
                <w:i/>
                <w:sz w:val="20"/>
                <w:szCs w:val="20"/>
              </w:rPr>
            </w:pPr>
            <w:r w:rsidRPr="00F70359">
              <w:rPr>
                <w:rFonts w:ascii="Aptos" w:hAnsi="Aptos"/>
                <w:i/>
                <w:sz w:val="20"/>
                <w:szCs w:val="20"/>
              </w:rPr>
              <w:t>The grievance process needs to be easily accessible so information about where a candidate obtains this information is critical – Provide website URL to where the grievance process is housed.</w:t>
            </w:r>
          </w:p>
          <w:p w:rsidRPr="00F70359" w:rsidR="007A4D01" w:rsidP="00F70359" w:rsidRDefault="007A4D01" w14:paraId="0EBF8DD6" w14:textId="77777777">
            <w:pPr>
              <w:numPr>
                <w:ilvl w:val="0"/>
                <w:numId w:val="21"/>
              </w:numPr>
              <w:contextualSpacing/>
              <w:rPr>
                <w:rFonts w:ascii="Aptos" w:hAnsi="Aptos"/>
                <w:sz w:val="20"/>
                <w:szCs w:val="20"/>
              </w:rPr>
            </w:pPr>
            <w:r w:rsidRPr="00F70359">
              <w:rPr>
                <w:rFonts w:ascii="Aptos" w:hAnsi="Aptos"/>
                <w:i/>
                <w:sz w:val="20"/>
                <w:szCs w:val="20"/>
              </w:rPr>
              <w:t xml:space="preserve">Evidence that demonstrates how candidates are informed of the existence of the grievance process – orientation materials or meeting agendas where </w:t>
            </w:r>
            <w:proofErr w:type="gramStart"/>
            <w:r w:rsidRPr="00F70359">
              <w:rPr>
                <w:rFonts w:ascii="Aptos" w:hAnsi="Aptos"/>
                <w:i/>
                <w:sz w:val="20"/>
                <w:szCs w:val="20"/>
              </w:rPr>
              <w:t>it is clear that the</w:t>
            </w:r>
            <w:proofErr w:type="gramEnd"/>
            <w:r w:rsidRPr="00F70359">
              <w:rPr>
                <w:rFonts w:ascii="Aptos" w:hAnsi="Aptos"/>
                <w:i/>
                <w:sz w:val="20"/>
                <w:szCs w:val="20"/>
              </w:rPr>
              <w:t xml:space="preserve"> grievance process was discussed.</w:t>
            </w:r>
          </w:p>
        </w:tc>
      </w:tr>
    </w:tbl>
    <w:p w:rsidRPr="00F70359" w:rsidR="00B204E1" w:rsidP="00F70359" w:rsidRDefault="00B204E1" w14:paraId="4E20D335" w14:textId="576FFB9A">
      <w:pPr>
        <w:spacing w:after="0" w:line="240" w:lineRule="auto"/>
        <w:ind w:left="420"/>
        <w:contextualSpacing/>
        <w:rPr>
          <w:rFonts w:ascii="Aptos" w:hAnsi="Aptos" w:eastAsiaTheme="minorEastAsia"/>
          <w:color w:val="000000" w:themeColor="text1"/>
          <w:sz w:val="20"/>
          <w:szCs w:val="20"/>
        </w:rPr>
      </w:pPr>
    </w:p>
    <w:p w:rsidR="00FC03A7" w:rsidP="00FC03A7" w:rsidRDefault="00FC03A7" w14:paraId="5FA2729E" w14:textId="77777777">
      <w:pPr>
        <w:spacing w:after="0" w:line="240" w:lineRule="auto"/>
        <w:ind w:left="720"/>
        <w:contextualSpacing/>
        <w:rPr>
          <w:rFonts w:ascii="Aptos" w:hAnsi="Aptos" w:eastAsiaTheme="minorEastAsia"/>
          <w:sz w:val="20"/>
          <w:szCs w:val="20"/>
        </w:rPr>
      </w:pPr>
      <w:r w:rsidRPr="00FC03A7">
        <w:rPr>
          <w:rFonts w:ascii="Aptos" w:hAnsi="Aptos" w:eastAsiaTheme="minorEastAsia"/>
          <w:sz w:val="20"/>
          <w:szCs w:val="20"/>
        </w:rPr>
        <w:t>The University of La Verne maintains a clearly defined grievance process for candidates and applicants. The grievance process is publicly accessible through the University Catalog and is available to all candidates and applicants without restriction.</w:t>
      </w:r>
    </w:p>
    <w:p w:rsidRPr="00FC03A7" w:rsidR="00FC03A7" w:rsidP="00FC03A7" w:rsidRDefault="00FC03A7" w14:paraId="50FBAF87" w14:textId="77777777">
      <w:pPr>
        <w:spacing w:after="0" w:line="240" w:lineRule="auto"/>
        <w:ind w:left="720"/>
        <w:contextualSpacing/>
        <w:rPr>
          <w:rFonts w:ascii="Aptos" w:hAnsi="Aptos" w:eastAsiaTheme="minorEastAsia"/>
          <w:sz w:val="20"/>
          <w:szCs w:val="20"/>
        </w:rPr>
      </w:pPr>
    </w:p>
    <w:p w:rsidR="007A4D01" w:rsidP="25866766" w:rsidRDefault="00FC03A7" w14:paraId="0A7BE1AF" w14:textId="300C93E2">
      <w:pPr>
        <w:spacing w:after="0" w:line="240" w:lineRule="auto"/>
        <w:ind w:left="720"/>
        <w:contextualSpacing w:val="1"/>
        <w:rPr>
          <w:rFonts w:ascii="Aptos" w:hAnsi="Aptos" w:eastAsia="等线" w:eastAsiaTheme="minorEastAsia"/>
          <w:sz w:val="20"/>
          <w:szCs w:val="20"/>
        </w:rPr>
      </w:pPr>
      <w:r w:rsidRPr="25866766" w:rsidR="00FC03A7">
        <w:rPr>
          <w:rFonts w:ascii="Aptos" w:hAnsi="Aptos" w:eastAsia="等线" w:eastAsiaTheme="minorEastAsia"/>
          <w:sz w:val="20"/>
          <w:szCs w:val="20"/>
        </w:rPr>
        <w:t>Candid</w:t>
      </w:r>
      <w:r w:rsidRPr="25866766" w:rsidR="00FC03A7">
        <w:rPr>
          <w:rFonts w:ascii="Aptos" w:hAnsi="Aptos" w:eastAsia="等线" w:eastAsiaTheme="minorEastAsia"/>
          <w:sz w:val="20"/>
          <w:szCs w:val="20"/>
        </w:rPr>
        <w:t xml:space="preserve">ates are informed of </w:t>
      </w:r>
      <w:r w:rsidRPr="25866766" w:rsidR="00FC03A7">
        <w:rPr>
          <w:rFonts w:ascii="Aptos" w:hAnsi="Aptos" w:eastAsia="等线" w:eastAsiaTheme="minorEastAsia"/>
          <w:sz w:val="20"/>
          <w:szCs w:val="20"/>
        </w:rPr>
        <w:t>the grievance</w:t>
      </w:r>
      <w:r w:rsidRPr="25866766" w:rsidR="00FC03A7">
        <w:rPr>
          <w:rFonts w:ascii="Aptos" w:hAnsi="Aptos" w:eastAsia="等线" w:eastAsiaTheme="minorEastAsia"/>
          <w:sz w:val="20"/>
          <w:szCs w:val="20"/>
        </w:rPr>
        <w:t xml:space="preserve"> proce</w:t>
      </w:r>
      <w:r w:rsidRPr="25866766" w:rsidR="00FC03A7">
        <w:rPr>
          <w:rFonts w:ascii="Aptos" w:hAnsi="Aptos" w:eastAsia="等线" w:eastAsiaTheme="minorEastAsia"/>
          <w:sz w:val="20"/>
          <w:szCs w:val="20"/>
        </w:rPr>
        <w:t xml:space="preserve">ss through </w:t>
      </w:r>
      <w:r w:rsidRPr="25866766" w:rsidR="00FC03A7">
        <w:rPr>
          <w:rFonts w:ascii="Aptos" w:hAnsi="Aptos" w:eastAsia="等线" w:eastAsiaTheme="minorEastAsia"/>
          <w:sz w:val="20"/>
          <w:szCs w:val="20"/>
        </w:rPr>
        <w:t xml:space="preserve">program materials, orientation, and institutional resources. The University </w:t>
      </w:r>
      <w:r w:rsidRPr="25866766" w:rsidR="00FC03A7">
        <w:rPr>
          <w:rFonts w:ascii="Aptos" w:hAnsi="Aptos" w:eastAsia="等线" w:eastAsiaTheme="minorEastAsia"/>
          <w:sz w:val="20"/>
          <w:szCs w:val="20"/>
        </w:rPr>
        <w:t>maintains</w:t>
      </w:r>
      <w:r w:rsidRPr="25866766" w:rsidR="00FC03A7">
        <w:rPr>
          <w:rFonts w:ascii="Aptos" w:hAnsi="Aptos" w:eastAsia="等线" w:eastAsiaTheme="minorEastAsia"/>
          <w:sz w:val="20"/>
          <w:szCs w:val="20"/>
        </w:rPr>
        <w:t xml:space="preserve"> documentation </w:t>
      </w:r>
      <w:r w:rsidRPr="25866766" w:rsidR="00FC03A7">
        <w:rPr>
          <w:rFonts w:ascii="Aptos" w:hAnsi="Aptos" w:eastAsia="等线" w:eastAsiaTheme="minorEastAsia"/>
          <w:sz w:val="20"/>
          <w:szCs w:val="20"/>
        </w:rPr>
        <w:t>demonstrating</w:t>
      </w:r>
      <w:r w:rsidRPr="25866766" w:rsidR="00FC03A7">
        <w:rPr>
          <w:rFonts w:ascii="Aptos" w:hAnsi="Aptos" w:eastAsia="等线" w:eastAsiaTheme="minorEastAsia"/>
          <w:sz w:val="20"/>
          <w:szCs w:val="20"/>
        </w:rPr>
        <w:t xml:space="preserve"> that candidates have been informed of the grievance process and that the process is followed </w:t>
      </w:r>
      <w:r w:rsidRPr="25866766" w:rsidR="00FC03A7">
        <w:rPr>
          <w:rFonts w:ascii="Aptos" w:hAnsi="Aptos" w:eastAsia="等线" w:eastAsiaTheme="minorEastAsia"/>
          <w:sz w:val="20"/>
          <w:szCs w:val="20"/>
        </w:rPr>
        <w:t>in accordance with</w:t>
      </w:r>
      <w:r w:rsidRPr="25866766" w:rsidR="00FC03A7">
        <w:rPr>
          <w:rFonts w:ascii="Aptos" w:hAnsi="Aptos" w:eastAsia="等线" w:eastAsiaTheme="minorEastAsia"/>
          <w:sz w:val="20"/>
          <w:szCs w:val="20"/>
        </w:rPr>
        <w:t xml:space="preserve"> institutional policy. The grievance procedures, including escalation processes and formal complaint options, are outlined in the </w:t>
      </w:r>
      <w:hyperlink r:id="R47fc1309407d4002">
        <w:r w:rsidRPr="25866766" w:rsidR="007A4D01">
          <w:rPr>
            <w:rStyle w:val="Hyperlink"/>
            <w:rFonts w:ascii="Aptos" w:hAnsi="Aptos" w:eastAsia="等线" w:eastAsiaTheme="minorEastAsia"/>
            <w:sz w:val="20"/>
            <w:szCs w:val="20"/>
          </w:rPr>
          <w:t>Catalog</w:t>
        </w:r>
      </w:hyperlink>
      <w:r w:rsidRPr="25866766" w:rsidR="50B164C4">
        <w:rPr>
          <w:rFonts w:ascii="Aptos" w:hAnsi="Aptos" w:eastAsia="等线" w:eastAsiaTheme="minorEastAsia"/>
          <w:sz w:val="20"/>
          <w:szCs w:val="20"/>
        </w:rPr>
        <w:t xml:space="preserve">  and on the </w:t>
      </w:r>
      <w:hyperlink r:id="R51fc53ac8a874942">
        <w:r w:rsidRPr="25866766" w:rsidR="50B164C4">
          <w:rPr>
            <w:rStyle w:val="Hyperlink"/>
            <w:rFonts w:ascii="Aptos" w:hAnsi="Aptos" w:eastAsia="等线" w:eastAsiaTheme="minorEastAsia"/>
            <w:sz w:val="20"/>
            <w:szCs w:val="20"/>
          </w:rPr>
          <w:t>Student Affairs website</w:t>
        </w:r>
      </w:hyperlink>
      <w:r w:rsidRPr="25866766" w:rsidR="50B164C4">
        <w:rPr>
          <w:rFonts w:ascii="Aptos" w:hAnsi="Aptos" w:eastAsia="等线" w:eastAsiaTheme="minorEastAsia"/>
          <w:sz w:val="20"/>
          <w:szCs w:val="20"/>
        </w:rPr>
        <w:t xml:space="preserve">. </w:t>
      </w:r>
    </w:p>
    <w:p w:rsidR="25866766" w:rsidP="25866766" w:rsidRDefault="25866766" w14:paraId="75F500EB" w14:textId="73B9A95D">
      <w:pPr>
        <w:spacing w:after="0" w:line="240" w:lineRule="auto"/>
        <w:ind w:left="720"/>
        <w:contextualSpacing w:val="1"/>
        <w:rPr>
          <w:rFonts w:ascii="Aptos" w:hAnsi="Aptos" w:eastAsia="等线" w:eastAsiaTheme="minorEastAsia"/>
          <w:sz w:val="20"/>
          <w:szCs w:val="20"/>
        </w:rPr>
      </w:pPr>
    </w:p>
    <w:p w:rsidR="03DC9762" w:rsidP="25866766" w:rsidRDefault="03DC9762" w14:paraId="21FB1387" w14:textId="34446721">
      <w:pPr>
        <w:spacing w:after="0" w:line="240" w:lineRule="auto"/>
        <w:ind w:left="720"/>
        <w:contextualSpacing w:val="1"/>
        <w:rPr>
          <w:rFonts w:ascii="Aptos" w:hAnsi="Aptos" w:eastAsia="等线" w:eastAsiaTheme="minorEastAsia"/>
          <w:sz w:val="20"/>
          <w:szCs w:val="20"/>
        </w:rPr>
      </w:pPr>
      <w:r w:rsidRPr="431A1144" w:rsidR="03DC9762">
        <w:rPr>
          <w:rFonts w:ascii="Aptos" w:hAnsi="Aptos" w:eastAsia="等线" w:eastAsiaTheme="minorEastAsia"/>
          <w:sz w:val="20"/>
          <w:szCs w:val="20"/>
        </w:rPr>
        <w:t>The</w:t>
      </w:r>
      <w:r w:rsidRPr="431A1144" w:rsidR="137B9710">
        <w:rPr>
          <w:rFonts w:ascii="Aptos" w:hAnsi="Aptos" w:eastAsia="等线" w:eastAsiaTheme="minorEastAsia"/>
          <w:sz w:val="20"/>
          <w:szCs w:val="20"/>
        </w:rPr>
        <w:t xml:space="preserve"> LaFetra </w:t>
      </w:r>
      <w:r w:rsidRPr="431A1144" w:rsidR="7945467B">
        <w:rPr>
          <w:rFonts w:ascii="Aptos" w:hAnsi="Aptos" w:eastAsia="等线" w:eastAsiaTheme="minorEastAsia"/>
          <w:sz w:val="20"/>
          <w:szCs w:val="20"/>
        </w:rPr>
        <w:t>College</w:t>
      </w:r>
      <w:r w:rsidRPr="431A1144" w:rsidR="137B9710">
        <w:rPr>
          <w:rFonts w:ascii="Aptos" w:hAnsi="Aptos" w:eastAsia="等线" w:eastAsiaTheme="minorEastAsia"/>
          <w:sz w:val="20"/>
          <w:szCs w:val="20"/>
        </w:rPr>
        <w:t xml:space="preserve"> of Education also has a </w:t>
      </w:r>
      <w:r w:rsidRPr="431A1144" w:rsidR="4EE457AC">
        <w:rPr>
          <w:rFonts w:ascii="Aptos" w:hAnsi="Aptos" w:eastAsia="等线" w:eastAsiaTheme="minorEastAsia"/>
          <w:sz w:val="20"/>
          <w:szCs w:val="20"/>
        </w:rPr>
        <w:t>grievance</w:t>
      </w:r>
      <w:r w:rsidRPr="431A1144" w:rsidR="137B9710">
        <w:rPr>
          <w:rFonts w:ascii="Aptos" w:hAnsi="Aptos" w:eastAsia="等线" w:eastAsiaTheme="minorEastAsia"/>
          <w:sz w:val="20"/>
          <w:szCs w:val="20"/>
        </w:rPr>
        <w:t xml:space="preserve"> process available to </w:t>
      </w:r>
      <w:r w:rsidRPr="431A1144" w:rsidR="16E5E745">
        <w:rPr>
          <w:rFonts w:ascii="Aptos" w:hAnsi="Aptos" w:eastAsia="等线" w:eastAsiaTheme="minorEastAsia"/>
          <w:sz w:val="20"/>
          <w:szCs w:val="20"/>
        </w:rPr>
        <w:t>students</w:t>
      </w:r>
      <w:r w:rsidRPr="431A1144" w:rsidR="137B9710">
        <w:rPr>
          <w:rFonts w:ascii="Aptos" w:hAnsi="Aptos" w:eastAsia="等线" w:eastAsiaTheme="minorEastAsia"/>
          <w:sz w:val="20"/>
          <w:szCs w:val="20"/>
        </w:rPr>
        <w:t xml:space="preserve"> on the </w:t>
      </w:r>
      <w:r w:rsidRPr="431A1144" w:rsidR="2471AABD">
        <w:rPr>
          <w:rFonts w:ascii="Aptos" w:hAnsi="Aptos" w:eastAsia="等线" w:eastAsiaTheme="minorEastAsia"/>
          <w:sz w:val="20"/>
          <w:szCs w:val="20"/>
        </w:rPr>
        <w:t>College</w:t>
      </w:r>
      <w:r w:rsidRPr="431A1144" w:rsidR="137B9710">
        <w:rPr>
          <w:rFonts w:ascii="Aptos" w:hAnsi="Aptos" w:eastAsia="等线" w:eastAsiaTheme="minorEastAsia"/>
          <w:sz w:val="20"/>
          <w:szCs w:val="20"/>
        </w:rPr>
        <w:t xml:space="preserve"> portal:</w:t>
      </w:r>
    </w:p>
    <w:p w:rsidR="25866766" w:rsidP="25866766" w:rsidRDefault="25866766" w14:paraId="643C6D3C" w14:textId="32413274">
      <w:pPr>
        <w:spacing w:after="0" w:line="240" w:lineRule="auto"/>
        <w:ind w:left="720"/>
        <w:contextualSpacing w:val="1"/>
        <w:rPr>
          <w:rFonts w:ascii="Aptos" w:hAnsi="Aptos" w:eastAsia="等线" w:eastAsiaTheme="minorEastAsia"/>
          <w:sz w:val="20"/>
          <w:szCs w:val="20"/>
        </w:rPr>
      </w:pPr>
    </w:p>
    <w:p w:rsidR="78DAABA1" w:rsidP="25866766" w:rsidRDefault="78DAABA1" w14:paraId="049782D0" w14:textId="24107385">
      <w:pPr>
        <w:pStyle w:val="Normal"/>
        <w:spacing w:after="0" w:line="240" w:lineRule="auto"/>
        <w:ind w:left="720"/>
        <w:contextualSpacing w:val="1"/>
      </w:pPr>
      <w:r w:rsidR="78DAABA1">
        <w:drawing>
          <wp:inline wp14:editId="62119EA5" wp14:anchorId="0BA4CE34">
            <wp:extent cx="5818929" cy="2023570"/>
            <wp:effectExtent l="0" t="0" r="0" b="0"/>
            <wp:docPr id="382260173"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382260173" name="Picture 382260173"/>
                    <pic:cNvPicPr/>
                  </pic:nvPicPr>
                  <pic:blipFill>
                    <a:blip xmlns:r="http://schemas.openxmlformats.org/officeDocument/2006/relationships" r:embed="rId1923441119">
                      <a:extLst>
                        <a:ext uri="{28A0092B-C50C-407E-A947-70E740481C1C}">
                          <a14:useLocalDpi xmlns:a14="http://schemas.microsoft.com/office/drawing/2010/main"/>
                        </a:ext>
                      </a:extLst>
                    </a:blip>
                    <a:stretch>
                      <a:fillRect/>
                    </a:stretch>
                  </pic:blipFill>
                  <pic:spPr>
                    <a:xfrm rot="0">
                      <a:off x="0" y="0"/>
                      <a:ext cx="5818929" cy="2023570"/>
                    </a:xfrm>
                    <a:prstGeom prst="rect">
                      <a:avLst/>
                    </a:prstGeom>
                  </pic:spPr>
                </pic:pic>
              </a:graphicData>
            </a:graphic>
          </wp:inline>
        </w:drawing>
      </w:r>
    </w:p>
    <w:p w:rsidR="3E35BD73" w:rsidP="25866766" w:rsidRDefault="3E35BD73" w14:paraId="630889C7" w14:textId="2D27098B">
      <w:pPr>
        <w:pStyle w:val="Normal"/>
        <w:spacing w:after="0" w:line="240" w:lineRule="auto"/>
        <w:ind w:left="720"/>
        <w:contextualSpacing w:val="1"/>
        <w:rPr>
          <w:rFonts w:ascii="Aptos" w:hAnsi="Aptos" w:eastAsia="Aptos" w:cs="Aptos"/>
          <w:noProof w:val="0"/>
          <w:sz w:val="20"/>
          <w:szCs w:val="20"/>
          <w:lang w:val="en-US"/>
        </w:rPr>
      </w:pPr>
      <w:hyperlink r:id="Rdc166b5f8a534339">
        <w:r w:rsidRPr="25866766" w:rsidR="3E35BD73">
          <w:rPr>
            <w:rStyle w:val="Hyperlink"/>
            <w:rFonts w:ascii="Aptos" w:hAnsi="Aptos" w:eastAsia="Aptos" w:cs="Aptos"/>
            <w:noProof w:val="0"/>
            <w:sz w:val="20"/>
            <w:szCs w:val="20"/>
            <w:lang w:val="en-US"/>
          </w:rPr>
          <w:t>Student Grievance Form</w:t>
        </w:r>
      </w:hyperlink>
    </w:p>
    <w:p w:rsidR="3E35BD73" w:rsidP="25866766" w:rsidRDefault="3E35BD73" w14:paraId="70A2BBE0" w14:textId="1A55C18E">
      <w:pPr>
        <w:pStyle w:val="Normal"/>
        <w:spacing w:after="0" w:line="240" w:lineRule="auto"/>
        <w:ind w:left="720"/>
        <w:contextualSpacing w:val="1"/>
      </w:pPr>
      <w:hyperlink r:id="Rc9f0d693a19844f2">
        <w:r w:rsidRPr="25866766" w:rsidR="3E35BD73">
          <w:rPr>
            <w:rStyle w:val="Hyperlink"/>
            <w:rFonts w:ascii="Aptos" w:hAnsi="Aptos" w:eastAsia="Aptos" w:cs="Aptos"/>
            <w:noProof w:val="0"/>
            <w:sz w:val="20"/>
            <w:szCs w:val="20"/>
            <w:lang w:val="en-US"/>
          </w:rPr>
          <w:t>Reporting Procedures for Student Concerns, Complaints or Grievances</w:t>
        </w:r>
      </w:hyperlink>
    </w:p>
    <w:p w:rsidRPr="00F70359" w:rsidR="00FC03A7" w:rsidP="00FC03A7" w:rsidRDefault="00FC03A7" w14:paraId="5910D735" w14:textId="77777777">
      <w:pPr>
        <w:spacing w:after="0" w:line="240" w:lineRule="auto"/>
        <w:ind w:left="720"/>
        <w:contextualSpacing/>
        <w:rPr>
          <w:rFonts w:ascii="Aptos" w:hAnsi="Aptos" w:eastAsiaTheme="minorEastAsia"/>
          <w:sz w:val="20"/>
          <w:szCs w:val="20"/>
        </w:rPr>
      </w:pPr>
    </w:p>
    <w:p w:rsidRPr="00F70359" w:rsidR="007A4D01" w:rsidP="25866766" w:rsidRDefault="007A4D01" w14:paraId="3F94FD36" w14:textId="0CDBB887">
      <w:pPr>
        <w:spacing w:after="0" w:line="240" w:lineRule="auto"/>
        <w:ind w:left="720"/>
        <w:contextualSpacing w:val="1"/>
      </w:pPr>
    </w:p>
    <w:p w:rsidRPr="00F70359" w:rsidR="00B204E1" w:rsidP="00F70359" w:rsidRDefault="00B204E1" w14:paraId="3863D54A" w14:textId="77777777">
      <w:pPr>
        <w:spacing w:after="0" w:line="240" w:lineRule="auto"/>
        <w:contextualSpacing/>
        <w:rPr>
          <w:rFonts w:ascii="Aptos" w:hAnsi="Aptos"/>
          <w:sz w:val="20"/>
          <w:szCs w:val="20"/>
        </w:rPr>
      </w:pPr>
    </w:p>
    <w:p w:rsidRPr="00F70359" w:rsidR="00B204E1" w:rsidP="00F70359" w:rsidRDefault="3B9BB85E" w14:paraId="4DB2F865" w14:textId="77777777">
      <w:pPr>
        <w:spacing w:after="0" w:line="240" w:lineRule="auto"/>
        <w:contextualSpacing/>
        <w:rPr>
          <w:rFonts w:ascii="Aptos" w:hAnsi="Aptos"/>
          <w:b/>
          <w:bCs/>
          <w:sz w:val="22"/>
          <w:szCs w:val="22"/>
        </w:rPr>
      </w:pPr>
      <w:r w:rsidRPr="00F70359">
        <w:rPr>
          <w:rFonts w:ascii="Aptos" w:hAnsi="Aptos"/>
          <w:b/>
          <w:bCs/>
          <w:sz w:val="22"/>
          <w:szCs w:val="22"/>
        </w:rPr>
        <w:t>(9) Faculty and Instructional Personnel Participation.</w:t>
      </w:r>
    </w:p>
    <w:p w:rsidRPr="00F70359" w:rsidR="00B204E1" w:rsidP="00F70359" w:rsidRDefault="3B9BB85E" w14:paraId="2B214F3A" w14:textId="77777777">
      <w:pPr>
        <w:spacing w:after="0" w:line="240" w:lineRule="auto"/>
        <w:ind w:left="420"/>
        <w:contextualSpacing/>
        <w:rPr>
          <w:rFonts w:ascii="Aptos" w:hAnsi="Aptos"/>
          <w:sz w:val="20"/>
          <w:szCs w:val="20"/>
        </w:rPr>
      </w:pPr>
      <w:r w:rsidRPr="00F70359">
        <w:rPr>
          <w:rFonts w:ascii="Aptos" w:hAnsi="Aptos"/>
          <w:sz w:val="20"/>
          <w:szCs w:val="20"/>
        </w:rPr>
        <w:t>All faculty and instructional personnel employed by colleges and universities who regularly teach one or more courses in an educator preparation program leading to a credential, shall actively participate in the public school system at least once every three academic years, appropri</w:t>
      </w:r>
      <w:r w:rsidRPr="00F70359">
        <w:rPr>
          <w:rFonts w:ascii="Aptos" w:hAnsi="Aptos" w:eastAsiaTheme="minorEastAsia"/>
          <w:sz w:val="20"/>
          <w:szCs w:val="20"/>
        </w:rPr>
        <w:t>ate to their credential area. Faculty who are not in the Department, School or College of Education are exempt from this requirement. </w:t>
      </w:r>
      <w:hyperlink r:id="rId17">
        <w:r w:rsidRPr="00F70359">
          <w:rPr>
            <w:rStyle w:val="Hyperlink"/>
            <w:rFonts w:ascii="Aptos" w:hAnsi="Aptos" w:eastAsiaTheme="minorEastAsia"/>
            <w:sz w:val="20"/>
            <w:szCs w:val="20"/>
          </w:rPr>
          <w:t>Reference: Education Code Section 44227.5 (a) and (b). </w:t>
        </w:r>
      </w:hyperlink>
    </w:p>
    <w:p w:rsidRPr="00F70359" w:rsidR="00F70359" w:rsidP="00F70359" w:rsidRDefault="00F70359" w14:paraId="6F79F00F" w14:textId="77777777">
      <w:pPr>
        <w:spacing w:after="0" w:line="240" w:lineRule="auto"/>
        <w:ind w:left="420"/>
        <w:contextualSpacing/>
        <w:rPr>
          <w:rFonts w:ascii="Aptos" w:hAnsi="Aptos" w:eastAsiaTheme="minorEastAsia"/>
          <w:sz w:val="20"/>
          <w:szCs w:val="20"/>
        </w:rPr>
      </w:pPr>
    </w:p>
    <w:tbl>
      <w:tblPr>
        <w:tblStyle w:val="TableGrid"/>
        <w:tblpPr w:leftFromText="180" w:rightFromText="180" w:vertAnchor="text" w:horzAnchor="page" w:tblpX="1895" w:tblpY="101"/>
        <w:tblW w:w="0" w:type="auto"/>
        <w:tblLook w:val="04A0" w:firstRow="1" w:lastRow="0" w:firstColumn="1" w:lastColumn="0" w:noHBand="0" w:noVBand="1"/>
      </w:tblPr>
      <w:tblGrid>
        <w:gridCol w:w="9350"/>
      </w:tblGrid>
      <w:tr w:rsidRPr="00F70359" w:rsidR="007A4D01" w:rsidTr="007A4D01" w14:paraId="5BF9C18D" w14:textId="77777777">
        <w:tc>
          <w:tcPr>
            <w:tcW w:w="9350" w:type="dxa"/>
          </w:tcPr>
          <w:p w:rsidRPr="00F70359" w:rsidR="007A4D01" w:rsidP="00F70359" w:rsidRDefault="007A4D01" w14:paraId="6C247C4E" w14:textId="77777777">
            <w:pPr>
              <w:contextualSpacing/>
              <w:rPr>
                <w:rFonts w:ascii="Aptos" w:hAnsi="Aptos"/>
                <w:i/>
                <w:sz w:val="20"/>
                <w:szCs w:val="20"/>
              </w:rPr>
            </w:pPr>
            <w:r w:rsidRPr="00F70359">
              <w:rPr>
                <w:rFonts w:ascii="Aptos" w:hAnsi="Aptos"/>
                <w:i/>
                <w:iCs/>
                <w:sz w:val="20"/>
                <w:szCs w:val="20"/>
              </w:rPr>
              <w:t>Examples of </w:t>
            </w:r>
            <w:r w:rsidRPr="00F70359">
              <w:rPr>
                <w:rFonts w:ascii="Aptos" w:hAnsi="Aptos"/>
                <w:b/>
                <w:bCs/>
                <w:i/>
                <w:iCs/>
                <w:sz w:val="20"/>
                <w:szCs w:val="20"/>
              </w:rPr>
              <w:t>Acceptable </w:t>
            </w:r>
            <w:r w:rsidRPr="00F70359">
              <w:rPr>
                <w:rFonts w:ascii="Aptos" w:hAnsi="Aptos"/>
                <w:i/>
                <w:iCs/>
                <w:sz w:val="20"/>
                <w:szCs w:val="20"/>
              </w:rPr>
              <w:t>Evidence</w:t>
            </w:r>
          </w:p>
          <w:p w:rsidRPr="00F70359" w:rsidR="007A4D01" w:rsidP="00F70359" w:rsidRDefault="007A4D01" w14:paraId="4EC1B33F" w14:textId="77777777">
            <w:pPr>
              <w:numPr>
                <w:ilvl w:val="0"/>
                <w:numId w:val="22"/>
              </w:numPr>
              <w:contextualSpacing/>
              <w:rPr>
                <w:rFonts w:ascii="Aptos" w:hAnsi="Aptos"/>
                <w:i/>
                <w:sz w:val="20"/>
                <w:szCs w:val="20"/>
              </w:rPr>
            </w:pPr>
            <w:r w:rsidRPr="00F70359">
              <w:rPr>
                <w:rFonts w:ascii="Aptos" w:hAnsi="Aptos"/>
                <w:i/>
                <w:sz w:val="20"/>
                <w:szCs w:val="20"/>
              </w:rPr>
              <w:t>List of all faculty members to whom this precondition would apply (regularly teach one or more courses in an educator preparation program but not those outside of the Department, School or College of Education)</w:t>
            </w:r>
            <w:r w:rsidRPr="00F70359">
              <w:rPr>
                <w:rFonts w:ascii="Aptos" w:hAnsi="Aptos"/>
                <w:i/>
                <w:sz w:val="20"/>
                <w:szCs w:val="20"/>
              </w:rPr>
              <w:br/>
            </w:r>
            <w:r w:rsidRPr="00F70359">
              <w:rPr>
                <w:rFonts w:ascii="Aptos" w:hAnsi="Aptos"/>
                <w:i/>
                <w:sz w:val="20"/>
                <w:szCs w:val="20"/>
              </w:rPr>
              <w:lastRenderedPageBreak/>
              <w:br/>
            </w:r>
            <w:r w:rsidRPr="00F70359">
              <w:rPr>
                <w:rFonts w:ascii="Aptos" w:hAnsi="Aptos"/>
                <w:b/>
                <w:bCs/>
                <w:i/>
                <w:sz w:val="20"/>
                <w:szCs w:val="20"/>
              </w:rPr>
              <w:t>AND</w:t>
            </w:r>
          </w:p>
          <w:p w:rsidRPr="00F70359" w:rsidR="007A4D01" w:rsidP="00F70359" w:rsidRDefault="007A4D01" w14:paraId="78065BEA" w14:textId="77777777">
            <w:pPr>
              <w:numPr>
                <w:ilvl w:val="0"/>
                <w:numId w:val="23"/>
              </w:numPr>
              <w:contextualSpacing/>
              <w:rPr>
                <w:rFonts w:ascii="Aptos" w:hAnsi="Aptos"/>
                <w:i/>
                <w:sz w:val="20"/>
                <w:szCs w:val="20"/>
              </w:rPr>
            </w:pPr>
            <w:r w:rsidRPr="00F70359">
              <w:rPr>
                <w:rFonts w:ascii="Aptos" w:hAnsi="Aptos"/>
                <w:i/>
                <w:sz w:val="20"/>
                <w:szCs w:val="20"/>
              </w:rPr>
              <w:t xml:space="preserve">List indicating how each faculty member above </w:t>
            </w:r>
            <w:proofErr w:type="gramStart"/>
            <w:r w:rsidRPr="00F70359">
              <w:rPr>
                <w:rFonts w:ascii="Aptos" w:hAnsi="Aptos"/>
                <w:i/>
                <w:sz w:val="20"/>
                <w:szCs w:val="20"/>
              </w:rPr>
              <w:t>have</w:t>
            </w:r>
            <w:proofErr w:type="gramEnd"/>
            <w:r w:rsidRPr="00F70359">
              <w:rPr>
                <w:rFonts w:ascii="Aptos" w:hAnsi="Aptos"/>
                <w:i/>
                <w:sz w:val="20"/>
                <w:szCs w:val="20"/>
              </w:rPr>
              <w:t xml:space="preserve"> participated in the public-school system at least once every three years.</w:t>
            </w:r>
          </w:p>
          <w:p w:rsidRPr="00F70359" w:rsidR="007A4D01" w:rsidP="00F70359" w:rsidRDefault="007A4D01" w14:paraId="27010CA8" w14:textId="77777777">
            <w:pPr>
              <w:contextualSpacing/>
              <w:rPr>
                <w:rFonts w:ascii="Aptos" w:hAnsi="Aptos"/>
                <w:i/>
                <w:sz w:val="20"/>
                <w:szCs w:val="20"/>
              </w:rPr>
            </w:pPr>
            <w:r w:rsidRPr="00F70359">
              <w:rPr>
                <w:rFonts w:ascii="Aptos" w:hAnsi="Aptos"/>
                <w:i/>
                <w:iCs/>
                <w:sz w:val="20"/>
                <w:szCs w:val="20"/>
              </w:rPr>
              <w:t>Examples of </w:t>
            </w:r>
            <w:r w:rsidRPr="00F70359">
              <w:rPr>
                <w:rFonts w:ascii="Aptos" w:hAnsi="Aptos"/>
                <w:b/>
                <w:bCs/>
                <w:i/>
                <w:iCs/>
                <w:sz w:val="20"/>
                <w:szCs w:val="20"/>
              </w:rPr>
              <w:t>Insufficient </w:t>
            </w:r>
            <w:r w:rsidRPr="00F70359">
              <w:rPr>
                <w:rFonts w:ascii="Aptos" w:hAnsi="Aptos"/>
                <w:i/>
                <w:iCs/>
                <w:sz w:val="20"/>
                <w:szCs w:val="20"/>
              </w:rPr>
              <w:t>Evidence:</w:t>
            </w:r>
          </w:p>
          <w:p w:rsidRPr="00F70359" w:rsidR="007A4D01" w:rsidP="00F70359" w:rsidRDefault="007A4D01" w14:paraId="6E4F4B0A" w14:textId="77777777">
            <w:pPr>
              <w:numPr>
                <w:ilvl w:val="0"/>
                <w:numId w:val="24"/>
              </w:numPr>
              <w:contextualSpacing/>
              <w:rPr>
                <w:rFonts w:ascii="Aptos" w:hAnsi="Aptos"/>
                <w:i/>
                <w:sz w:val="20"/>
                <w:szCs w:val="20"/>
              </w:rPr>
            </w:pPr>
            <w:r w:rsidRPr="00F70359">
              <w:rPr>
                <w:rFonts w:ascii="Aptos" w:hAnsi="Aptos"/>
                <w:i/>
                <w:sz w:val="20"/>
                <w:szCs w:val="20"/>
              </w:rPr>
              <w:t>A list that does not include all relevant faculty members (only adjunct or only full time or only those in certain programs).</w:t>
            </w:r>
          </w:p>
          <w:p w:rsidRPr="00F70359" w:rsidR="007A4D01" w:rsidP="00F70359" w:rsidRDefault="007A4D01" w14:paraId="72FEBFCE" w14:textId="77777777">
            <w:pPr>
              <w:numPr>
                <w:ilvl w:val="0"/>
                <w:numId w:val="24"/>
              </w:numPr>
              <w:contextualSpacing/>
              <w:rPr>
                <w:rFonts w:ascii="Aptos" w:hAnsi="Aptos"/>
                <w:i/>
                <w:sz w:val="20"/>
                <w:szCs w:val="20"/>
              </w:rPr>
            </w:pPr>
            <w:r w:rsidRPr="00F70359">
              <w:rPr>
                <w:rFonts w:ascii="Aptos" w:hAnsi="Aptos"/>
                <w:i/>
                <w:sz w:val="20"/>
                <w:szCs w:val="20"/>
              </w:rPr>
              <w:t xml:space="preserve">A list that does not include both the faculty member names and the </w:t>
            </w:r>
            <w:proofErr w:type="gramStart"/>
            <w:r w:rsidRPr="00F70359">
              <w:rPr>
                <w:rFonts w:ascii="Aptos" w:hAnsi="Aptos"/>
                <w:i/>
                <w:sz w:val="20"/>
                <w:szCs w:val="20"/>
              </w:rPr>
              <w:t>manner in which</w:t>
            </w:r>
            <w:proofErr w:type="gramEnd"/>
            <w:r w:rsidRPr="00F70359">
              <w:rPr>
                <w:rFonts w:ascii="Aptos" w:hAnsi="Aptos"/>
                <w:i/>
                <w:sz w:val="20"/>
                <w:szCs w:val="20"/>
              </w:rPr>
              <w:t xml:space="preserve"> they meet this requirement.</w:t>
            </w:r>
          </w:p>
          <w:p w:rsidRPr="00F70359" w:rsidR="007A4D01" w:rsidP="00F70359" w:rsidRDefault="007A4D01" w14:paraId="321147BC" w14:textId="77777777">
            <w:pPr>
              <w:numPr>
                <w:ilvl w:val="0"/>
                <w:numId w:val="24"/>
              </w:numPr>
              <w:contextualSpacing/>
              <w:rPr>
                <w:rFonts w:ascii="Aptos" w:hAnsi="Aptos"/>
                <w:sz w:val="20"/>
                <w:szCs w:val="20"/>
              </w:rPr>
            </w:pPr>
            <w:r w:rsidRPr="00F70359">
              <w:rPr>
                <w:rFonts w:ascii="Aptos" w:hAnsi="Aptos"/>
                <w:i/>
                <w:sz w:val="20"/>
                <w:szCs w:val="20"/>
              </w:rPr>
              <w:t xml:space="preserve">The </w:t>
            </w:r>
            <w:proofErr w:type="gramStart"/>
            <w:r w:rsidRPr="00F70359">
              <w:rPr>
                <w:rFonts w:ascii="Aptos" w:hAnsi="Aptos"/>
                <w:i/>
                <w:sz w:val="20"/>
                <w:szCs w:val="20"/>
              </w:rPr>
              <w:t>manner in which</w:t>
            </w:r>
            <w:proofErr w:type="gramEnd"/>
            <w:r w:rsidRPr="00F70359">
              <w:rPr>
                <w:rFonts w:ascii="Aptos" w:hAnsi="Aptos"/>
                <w:i/>
                <w:sz w:val="20"/>
                <w:szCs w:val="20"/>
              </w:rPr>
              <w:t xml:space="preserve"> faculty members meet this requirement is superficial or not relevant (parent with school age children, chaperoned on student field trips). Acceptable activities include mentor teacher, professional development provider, school board member, tutor K-12 students, field supervisor, advisory boards, among many others.</w:t>
            </w:r>
          </w:p>
        </w:tc>
      </w:tr>
    </w:tbl>
    <w:p w:rsidRPr="00F70359" w:rsidR="00B204E1" w:rsidP="00F70359" w:rsidRDefault="00B204E1" w14:paraId="3ADD038A" w14:textId="3B240AAA">
      <w:pPr>
        <w:spacing w:after="0" w:line="240" w:lineRule="auto"/>
        <w:contextualSpacing/>
        <w:rPr>
          <w:rFonts w:ascii="Aptos" w:hAnsi="Aptos" w:eastAsiaTheme="minorEastAsia"/>
          <w:sz w:val="20"/>
          <w:szCs w:val="20"/>
        </w:rPr>
      </w:pPr>
    </w:p>
    <w:p w:rsidR="00FC03A7" w:rsidP="00FC03A7" w:rsidRDefault="00FC03A7" w14:paraId="5BB4DFC9" w14:textId="77777777">
      <w:pPr>
        <w:spacing w:after="0" w:line="240" w:lineRule="auto"/>
        <w:ind w:left="720"/>
        <w:contextualSpacing/>
        <w:rPr>
          <w:rFonts w:ascii="Aptos" w:hAnsi="Aptos" w:eastAsiaTheme="minorEastAsia"/>
          <w:sz w:val="20"/>
          <w:szCs w:val="20"/>
        </w:rPr>
      </w:pPr>
      <w:r w:rsidRPr="00FC03A7">
        <w:rPr>
          <w:rFonts w:ascii="Aptos" w:hAnsi="Aptos" w:eastAsiaTheme="minorEastAsia"/>
          <w:sz w:val="20"/>
          <w:szCs w:val="20"/>
        </w:rPr>
        <w:t>Each member of the University of La Verne LaFetra College of Education faculty who regularly teaches one or more courses in an educator preparation program actively participates in public elementary or secondary schools and classrooms at least once every three academic years, as appropriate to their credential area, in accordance with Education Code Section 44227.5(a) and (b).</w:t>
      </w:r>
    </w:p>
    <w:p w:rsidRPr="00FC03A7" w:rsidR="00FC03A7" w:rsidP="00FC03A7" w:rsidRDefault="00FC03A7" w14:paraId="7D41DDEB" w14:textId="77777777">
      <w:pPr>
        <w:spacing w:after="0" w:line="240" w:lineRule="auto"/>
        <w:ind w:left="720"/>
        <w:contextualSpacing/>
        <w:rPr>
          <w:rFonts w:ascii="Aptos" w:hAnsi="Aptos" w:eastAsiaTheme="minorEastAsia"/>
          <w:sz w:val="20"/>
          <w:szCs w:val="20"/>
        </w:rPr>
      </w:pPr>
    </w:p>
    <w:p w:rsidR="00FC03A7" w:rsidP="00FC03A7" w:rsidRDefault="00FC03A7" w14:paraId="44FA1735" w14:textId="77777777">
      <w:pPr>
        <w:spacing w:after="0" w:line="240" w:lineRule="auto"/>
        <w:ind w:left="720"/>
        <w:contextualSpacing/>
        <w:rPr>
          <w:rFonts w:ascii="Aptos" w:hAnsi="Aptos" w:eastAsiaTheme="minorEastAsia"/>
          <w:sz w:val="20"/>
          <w:szCs w:val="20"/>
        </w:rPr>
      </w:pPr>
      <w:r w:rsidRPr="00FC03A7">
        <w:rPr>
          <w:rFonts w:ascii="Aptos" w:hAnsi="Aptos" w:eastAsiaTheme="minorEastAsia"/>
          <w:sz w:val="20"/>
          <w:szCs w:val="20"/>
        </w:rPr>
        <w:t>Faculty participation includes a range of sustained and relevant professional activities in PK–12 settings. These activities include serving as fieldwork supervisors; providing professional development to teachers and administrators; participating in district, county, and state advisory boards; collaborating with local school districts on instructional initiatives; supporting induction programs; and engaging in school-based leadership, consultation, and partnership activities. Faculty also contribute to student learning and school improvement through classroom-based instruction, co-teaching partnerships, and direct support to school personnel.</w:t>
      </w:r>
    </w:p>
    <w:p w:rsidRPr="00FC03A7" w:rsidR="00FC03A7" w:rsidP="00FC03A7" w:rsidRDefault="00FC03A7" w14:paraId="59A8C46C" w14:textId="77777777">
      <w:pPr>
        <w:spacing w:after="0" w:line="240" w:lineRule="auto"/>
        <w:ind w:left="720"/>
        <w:contextualSpacing/>
        <w:rPr>
          <w:rFonts w:ascii="Aptos" w:hAnsi="Aptos" w:eastAsiaTheme="minorEastAsia"/>
          <w:sz w:val="20"/>
          <w:szCs w:val="20"/>
        </w:rPr>
      </w:pPr>
    </w:p>
    <w:p w:rsidRPr="00FC03A7" w:rsidR="00FC03A7" w:rsidP="00FC03A7" w:rsidRDefault="00FC03A7" w14:paraId="49592964" w14:textId="77777777">
      <w:pPr>
        <w:spacing w:after="0" w:line="240" w:lineRule="auto"/>
        <w:ind w:left="720"/>
        <w:contextualSpacing/>
        <w:rPr>
          <w:rFonts w:ascii="Aptos" w:hAnsi="Aptos" w:eastAsiaTheme="minorEastAsia"/>
          <w:sz w:val="20"/>
          <w:szCs w:val="20"/>
        </w:rPr>
      </w:pPr>
      <w:r w:rsidRPr="00FC03A7">
        <w:rPr>
          <w:rFonts w:ascii="Aptos" w:hAnsi="Aptos" w:eastAsiaTheme="minorEastAsia"/>
          <w:sz w:val="20"/>
          <w:szCs w:val="20"/>
        </w:rPr>
        <w:t>Full-time faculty engage in structured partnerships with local education agencies, regional collaboratives, and statewide initiatives that support continuous engagement with PK–12 schools.</w:t>
      </w:r>
    </w:p>
    <w:p w:rsidRPr="00FC03A7" w:rsidR="11111512" w:rsidP="431A1144" w:rsidRDefault="00FC03A7" w14:paraId="3CB71C29" w14:textId="32A0A71B">
      <w:pPr>
        <w:spacing w:after="0" w:line="240" w:lineRule="auto"/>
        <w:ind w:left="720"/>
        <w:contextualSpacing w:val="1"/>
        <w:rPr>
          <w:rFonts w:ascii="Aptos" w:hAnsi="Aptos" w:eastAsia="等线" w:eastAsiaTheme="minorEastAsia"/>
          <w:sz w:val="20"/>
          <w:szCs w:val="20"/>
        </w:rPr>
      </w:pPr>
      <w:r w:rsidRPr="431A1144" w:rsidR="00FC03A7">
        <w:rPr>
          <w:rFonts w:ascii="Aptos" w:hAnsi="Aptos" w:eastAsia="等线" w:eastAsiaTheme="minorEastAsia"/>
          <w:sz w:val="20"/>
          <w:szCs w:val="20"/>
        </w:rPr>
        <w:t xml:space="preserve">Documentation of faculty participation, including faculty names, credential areas, types of activities, and dates of engagement, is </w:t>
      </w:r>
      <w:r w:rsidRPr="431A1144" w:rsidR="00FC03A7">
        <w:rPr>
          <w:rFonts w:ascii="Aptos" w:hAnsi="Aptos" w:eastAsia="等线" w:eastAsiaTheme="minorEastAsia"/>
          <w:sz w:val="20"/>
          <w:szCs w:val="20"/>
        </w:rPr>
        <w:t>maintained</w:t>
      </w:r>
      <w:r w:rsidRPr="431A1144" w:rsidR="00FC03A7">
        <w:rPr>
          <w:rFonts w:ascii="Aptos" w:hAnsi="Aptos" w:eastAsia="等线" w:eastAsiaTheme="minorEastAsia"/>
          <w:sz w:val="20"/>
          <w:szCs w:val="20"/>
        </w:rPr>
        <w:t xml:space="preserve"> by the unit and </w:t>
      </w:r>
      <w:r w:rsidRPr="431A1144" w:rsidR="00FC03A7">
        <w:rPr>
          <w:rFonts w:ascii="Aptos" w:hAnsi="Aptos" w:eastAsia="等线" w:eastAsiaTheme="minorEastAsia"/>
          <w:sz w:val="20"/>
          <w:szCs w:val="20"/>
        </w:rPr>
        <w:t>demonstrates</w:t>
      </w:r>
      <w:r w:rsidRPr="431A1144" w:rsidR="00FC03A7">
        <w:rPr>
          <w:rFonts w:ascii="Aptos" w:hAnsi="Aptos" w:eastAsia="等线" w:eastAsiaTheme="minorEastAsia"/>
          <w:sz w:val="20"/>
          <w:szCs w:val="20"/>
        </w:rPr>
        <w:t xml:space="preserve"> that all applicable faculty meet the participation requirement within the required three-year cycle. This documentation is provided in the </w:t>
      </w:r>
      <w:hyperlink r:id="R5adc820c5e304fa7">
        <w:r w:rsidRPr="431A1144" w:rsidR="00FC03A7">
          <w:rPr>
            <w:rStyle w:val="Hyperlink"/>
            <w:rFonts w:ascii="Aptos" w:hAnsi="Aptos" w:eastAsia="等线" w:eastAsiaTheme="minorEastAsia"/>
            <w:sz w:val="20"/>
            <w:szCs w:val="20"/>
          </w:rPr>
          <w:t>Faculty Participation Log</w:t>
        </w:r>
      </w:hyperlink>
      <w:r w:rsidRPr="431A1144" w:rsidR="00FC03A7">
        <w:rPr>
          <w:rFonts w:ascii="Aptos" w:hAnsi="Aptos" w:eastAsia="等线" w:eastAsiaTheme="minorEastAsia"/>
          <w:sz w:val="20"/>
          <w:szCs w:val="20"/>
        </w:rPr>
        <w:t>.</w:t>
      </w:r>
    </w:p>
    <w:p w:rsidRPr="00F70359" w:rsidR="00B204E1" w:rsidP="00F70359" w:rsidRDefault="00B204E1" w14:paraId="0FDDCB7F" w14:textId="77777777">
      <w:pPr>
        <w:spacing w:after="0" w:line="240" w:lineRule="auto"/>
        <w:contextualSpacing/>
        <w:rPr>
          <w:rFonts w:ascii="Aptos" w:hAnsi="Aptos"/>
          <w:sz w:val="20"/>
          <w:szCs w:val="20"/>
        </w:rPr>
      </w:pPr>
    </w:p>
    <w:p w:rsidRPr="00F70359" w:rsidR="00B204E1" w:rsidP="00F70359" w:rsidRDefault="108D1707" w14:paraId="3FCD4236" w14:textId="77777777">
      <w:pPr>
        <w:spacing w:after="0" w:line="240" w:lineRule="auto"/>
        <w:contextualSpacing/>
        <w:rPr>
          <w:rFonts w:ascii="Aptos" w:hAnsi="Aptos"/>
          <w:b/>
          <w:bCs/>
          <w:sz w:val="22"/>
          <w:szCs w:val="22"/>
        </w:rPr>
      </w:pPr>
      <w:r w:rsidRPr="00F70359">
        <w:rPr>
          <w:rFonts w:ascii="Aptos" w:hAnsi="Aptos"/>
          <w:b/>
          <w:bCs/>
          <w:sz w:val="22"/>
          <w:szCs w:val="22"/>
        </w:rPr>
        <w:t>(10) Communication and Information.</w:t>
      </w:r>
    </w:p>
    <w:p w:rsidRPr="00F70359" w:rsidR="00B204E1" w:rsidP="00F70359" w:rsidRDefault="108D1707" w14:paraId="7A6208F6" w14:textId="77777777">
      <w:pPr>
        <w:spacing w:after="0" w:line="240" w:lineRule="auto"/>
        <w:ind w:left="420"/>
        <w:contextualSpacing/>
        <w:rPr>
          <w:rFonts w:ascii="Aptos" w:hAnsi="Aptos" w:eastAsiaTheme="minorEastAsia"/>
          <w:sz w:val="20"/>
          <w:szCs w:val="20"/>
        </w:rPr>
      </w:pPr>
      <w:r w:rsidRPr="00F70359">
        <w:rPr>
          <w:rFonts w:ascii="Aptos" w:hAnsi="Aptos"/>
          <w:sz w:val="20"/>
          <w:szCs w:val="20"/>
        </w:rPr>
        <w:t>To be granted continuing accreditation by the Committee on Accreditation, the approved program sponsor must provide easily accessible and accurate information to the public, prospec</w:t>
      </w:r>
      <w:r w:rsidRPr="00F70359">
        <w:rPr>
          <w:rFonts w:ascii="Aptos" w:hAnsi="Aptos" w:eastAsiaTheme="minorEastAsia"/>
          <w:sz w:val="20"/>
          <w:szCs w:val="20"/>
        </w:rPr>
        <w:t>tive educators, and enrolled candidates about the requirements for admission and successful completion for all its educator preparation programs. </w:t>
      </w:r>
    </w:p>
    <w:p w:rsidRPr="00F70359" w:rsidR="00F70359" w:rsidP="00F70359" w:rsidRDefault="00F70359" w14:paraId="4B2EA282" w14:textId="77777777">
      <w:pPr>
        <w:spacing w:after="0" w:line="240" w:lineRule="auto"/>
        <w:ind w:left="420"/>
        <w:contextualSpacing/>
        <w:rPr>
          <w:rFonts w:ascii="Aptos" w:hAnsi="Aptos" w:eastAsiaTheme="minorEastAsia"/>
          <w:sz w:val="20"/>
          <w:szCs w:val="20"/>
        </w:rPr>
      </w:pPr>
    </w:p>
    <w:tbl>
      <w:tblPr>
        <w:tblStyle w:val="TableGrid"/>
        <w:tblpPr w:leftFromText="180" w:rightFromText="180" w:vertAnchor="text" w:horzAnchor="margin" w:tblpX="445" w:tblpY="41"/>
        <w:tblW w:w="0" w:type="auto"/>
        <w:tblLook w:val="04A0" w:firstRow="1" w:lastRow="0" w:firstColumn="1" w:lastColumn="0" w:noHBand="0" w:noVBand="1"/>
      </w:tblPr>
      <w:tblGrid>
        <w:gridCol w:w="8905"/>
      </w:tblGrid>
      <w:tr w:rsidRPr="00F70359" w:rsidR="007A4D01" w:rsidTr="007A4D01" w14:paraId="08744140" w14:textId="77777777">
        <w:tc>
          <w:tcPr>
            <w:tcW w:w="8905" w:type="dxa"/>
          </w:tcPr>
          <w:p w:rsidRPr="00F70359" w:rsidR="007A4D01" w:rsidP="00F70359" w:rsidRDefault="007A4D01" w14:paraId="79E5A6DC" w14:textId="77777777">
            <w:pPr>
              <w:contextualSpacing/>
              <w:rPr>
                <w:rFonts w:ascii="Aptos" w:hAnsi="Aptos"/>
                <w:i/>
                <w:sz w:val="20"/>
                <w:szCs w:val="20"/>
              </w:rPr>
            </w:pPr>
            <w:r w:rsidRPr="00F70359">
              <w:rPr>
                <w:rFonts w:ascii="Aptos" w:hAnsi="Aptos"/>
                <w:i/>
                <w:iCs/>
                <w:sz w:val="20"/>
                <w:szCs w:val="20"/>
              </w:rPr>
              <w:t>Examples of </w:t>
            </w:r>
            <w:r w:rsidRPr="00F70359">
              <w:rPr>
                <w:rFonts w:ascii="Aptos" w:hAnsi="Aptos"/>
                <w:b/>
                <w:bCs/>
                <w:i/>
                <w:iCs/>
                <w:sz w:val="20"/>
                <w:szCs w:val="20"/>
              </w:rPr>
              <w:t>Acceptable </w:t>
            </w:r>
            <w:r w:rsidRPr="00F70359">
              <w:rPr>
                <w:rFonts w:ascii="Aptos" w:hAnsi="Aptos"/>
                <w:i/>
                <w:iCs/>
                <w:sz w:val="20"/>
                <w:szCs w:val="20"/>
              </w:rPr>
              <w:t>Evidence</w:t>
            </w:r>
          </w:p>
          <w:p w:rsidRPr="00F70359" w:rsidR="007A4D01" w:rsidP="00F70359" w:rsidRDefault="007A4D01" w14:paraId="7A3F320A" w14:textId="77777777">
            <w:pPr>
              <w:numPr>
                <w:ilvl w:val="0"/>
                <w:numId w:val="25"/>
              </w:numPr>
              <w:contextualSpacing/>
              <w:rPr>
                <w:rFonts w:ascii="Aptos" w:hAnsi="Aptos"/>
                <w:i/>
                <w:sz w:val="20"/>
                <w:szCs w:val="20"/>
              </w:rPr>
            </w:pPr>
            <w:r w:rsidRPr="00F70359">
              <w:rPr>
                <w:rFonts w:ascii="Aptos" w:hAnsi="Aptos"/>
                <w:i/>
                <w:sz w:val="20"/>
                <w:szCs w:val="20"/>
              </w:rPr>
              <w:t>URL to the approved program sponsor website that does not require individuals to provide information to the entity, having to create a log in and password, or any other barrier to accessing information about the institution and the program.</w:t>
            </w:r>
            <w:r w:rsidRPr="00F70359">
              <w:rPr>
                <w:rFonts w:ascii="Aptos" w:hAnsi="Aptos"/>
                <w:i/>
                <w:sz w:val="20"/>
                <w:szCs w:val="20"/>
              </w:rPr>
              <w:br/>
            </w:r>
            <w:r w:rsidRPr="00F70359">
              <w:rPr>
                <w:rFonts w:ascii="Aptos" w:hAnsi="Aptos"/>
                <w:i/>
                <w:sz w:val="20"/>
                <w:szCs w:val="20"/>
              </w:rPr>
              <w:br/>
            </w:r>
            <w:r w:rsidRPr="00F70359">
              <w:rPr>
                <w:rFonts w:ascii="Aptos" w:hAnsi="Aptos"/>
                <w:b/>
                <w:bCs/>
                <w:i/>
                <w:sz w:val="20"/>
                <w:szCs w:val="20"/>
              </w:rPr>
              <w:t>AND</w:t>
            </w:r>
          </w:p>
          <w:p w:rsidRPr="00F70359" w:rsidR="007A4D01" w:rsidP="00F70359" w:rsidRDefault="007A4D01" w14:paraId="656FAE07" w14:textId="77777777">
            <w:pPr>
              <w:numPr>
                <w:ilvl w:val="0"/>
                <w:numId w:val="26"/>
              </w:numPr>
              <w:contextualSpacing/>
              <w:rPr>
                <w:rFonts w:ascii="Aptos" w:hAnsi="Aptos"/>
                <w:sz w:val="20"/>
                <w:szCs w:val="20"/>
              </w:rPr>
            </w:pPr>
            <w:r w:rsidRPr="00F70359">
              <w:rPr>
                <w:rFonts w:ascii="Aptos" w:hAnsi="Aptos"/>
                <w:i/>
                <w:sz w:val="20"/>
                <w:szCs w:val="20"/>
              </w:rPr>
              <w:t>The website must include information about admissions requirements, course and fieldwork requirements, and completion requirements.</w:t>
            </w:r>
          </w:p>
        </w:tc>
      </w:tr>
    </w:tbl>
    <w:p w:rsidRPr="00F70359" w:rsidR="00B204E1" w:rsidP="00F70359" w:rsidRDefault="00B204E1" w14:paraId="532EB931" w14:textId="0E3E8B8D">
      <w:pPr>
        <w:spacing w:after="0" w:line="240" w:lineRule="auto"/>
        <w:contextualSpacing/>
        <w:rPr>
          <w:rFonts w:ascii="Aptos" w:hAnsi="Aptos" w:eastAsiaTheme="minorEastAsia"/>
          <w:sz w:val="20"/>
          <w:szCs w:val="20"/>
        </w:rPr>
      </w:pPr>
    </w:p>
    <w:p w:rsidRPr="00F70359" w:rsidR="00F70359" w:rsidP="00F70359" w:rsidRDefault="00F70359" w14:paraId="6BAC3212" w14:textId="0672EE51">
      <w:pPr>
        <w:spacing w:after="0" w:line="240" w:lineRule="auto"/>
        <w:ind w:left="720"/>
        <w:contextualSpacing/>
        <w:rPr>
          <w:rFonts w:ascii="Aptos" w:hAnsi="Aptos" w:eastAsiaTheme="minorEastAsia"/>
          <w:sz w:val="20"/>
          <w:szCs w:val="20"/>
        </w:rPr>
      </w:pPr>
      <w:r w:rsidRPr="00F70359">
        <w:rPr>
          <w:rFonts w:ascii="Aptos" w:hAnsi="Aptos" w:eastAsiaTheme="minorEastAsia"/>
          <w:sz w:val="20"/>
          <w:szCs w:val="20"/>
        </w:rPr>
        <w:t xml:space="preserve">The LaFetra College of Education provides easily accessible and accurate information to the public, prospective educators, and enrolled candidates regarding admission requirements, program requirements, fieldwork expectations, and successful program completion. This information is </w:t>
      </w:r>
      <w:r w:rsidRPr="00F70359">
        <w:rPr>
          <w:rFonts w:ascii="Aptos" w:hAnsi="Aptos" w:eastAsiaTheme="minorEastAsia"/>
          <w:sz w:val="20"/>
          <w:szCs w:val="20"/>
        </w:rPr>
        <w:lastRenderedPageBreak/>
        <w:t xml:space="preserve">available on the </w:t>
      </w:r>
      <w:hyperlink w:history="1" r:id="rId18">
        <w:r w:rsidRPr="00F70359">
          <w:rPr>
            <w:rStyle w:val="Hyperlink"/>
            <w:rFonts w:ascii="Aptos" w:hAnsi="Aptos" w:eastAsiaTheme="minorEastAsia"/>
            <w:sz w:val="20"/>
            <w:szCs w:val="20"/>
          </w:rPr>
          <w:t xml:space="preserve">LaFetra </w:t>
        </w:r>
        <w:r w:rsidRPr="00F70359">
          <w:rPr>
            <w:rStyle w:val="Hyperlink"/>
            <w:rFonts w:ascii="Aptos" w:hAnsi="Aptos" w:eastAsiaTheme="minorEastAsia"/>
            <w:sz w:val="20"/>
            <w:szCs w:val="20"/>
          </w:rPr>
          <w:t>College of Education website</w:t>
        </w:r>
      </w:hyperlink>
      <w:r w:rsidRPr="00F70359">
        <w:rPr>
          <w:rFonts w:ascii="Aptos" w:hAnsi="Aptos" w:eastAsiaTheme="minorEastAsia"/>
          <w:sz w:val="20"/>
          <w:szCs w:val="20"/>
        </w:rPr>
        <w:t xml:space="preserve">, </w:t>
      </w:r>
      <w:hyperlink w:history="1" r:id="rId19">
        <w:r w:rsidRPr="00F70359">
          <w:rPr>
            <w:rStyle w:val="Hyperlink"/>
            <w:rFonts w:ascii="Aptos" w:hAnsi="Aptos" w:eastAsiaTheme="minorEastAsia"/>
            <w:sz w:val="20"/>
            <w:szCs w:val="20"/>
          </w:rPr>
          <w:t>program webpages</w:t>
        </w:r>
      </w:hyperlink>
      <w:r w:rsidRPr="00F70359">
        <w:rPr>
          <w:rFonts w:ascii="Aptos" w:hAnsi="Aptos" w:eastAsiaTheme="minorEastAsia"/>
          <w:sz w:val="20"/>
          <w:szCs w:val="20"/>
        </w:rPr>
        <w:t xml:space="preserve">, program handbooks, and the </w:t>
      </w:r>
      <w:hyperlink w:history="1" r:id="rId20">
        <w:r w:rsidRPr="00F70359">
          <w:rPr>
            <w:rStyle w:val="Hyperlink"/>
            <w:rFonts w:ascii="Aptos" w:hAnsi="Aptos" w:eastAsiaTheme="minorEastAsia"/>
            <w:sz w:val="20"/>
            <w:szCs w:val="20"/>
          </w:rPr>
          <w:t>University catalog</w:t>
        </w:r>
      </w:hyperlink>
      <w:r w:rsidRPr="00F70359">
        <w:rPr>
          <w:rFonts w:ascii="Aptos" w:hAnsi="Aptos" w:eastAsiaTheme="minorEastAsia"/>
          <w:sz w:val="20"/>
          <w:szCs w:val="20"/>
        </w:rPr>
        <w:t>.</w:t>
      </w:r>
    </w:p>
    <w:p w:rsidRPr="00F70359" w:rsidR="00F70359" w:rsidP="00F70359" w:rsidRDefault="00F70359" w14:paraId="7805AFD6" w14:textId="77777777">
      <w:pPr>
        <w:spacing w:after="0" w:line="240" w:lineRule="auto"/>
        <w:ind w:left="720"/>
        <w:contextualSpacing/>
        <w:rPr>
          <w:rFonts w:ascii="Aptos" w:hAnsi="Aptos" w:eastAsiaTheme="minorEastAsia"/>
          <w:sz w:val="20"/>
          <w:szCs w:val="20"/>
        </w:rPr>
      </w:pPr>
    </w:p>
    <w:p w:rsidRPr="00F70359" w:rsidR="00F70359" w:rsidP="00F70359" w:rsidRDefault="00F70359" w14:paraId="4809D972" w14:textId="77777777">
      <w:pPr>
        <w:spacing w:after="0" w:line="240" w:lineRule="auto"/>
        <w:ind w:left="720"/>
        <w:contextualSpacing/>
        <w:rPr>
          <w:rFonts w:ascii="Aptos" w:hAnsi="Aptos" w:eastAsiaTheme="minorEastAsia"/>
          <w:sz w:val="20"/>
          <w:szCs w:val="20"/>
        </w:rPr>
      </w:pPr>
      <w:r w:rsidRPr="00F70359">
        <w:rPr>
          <w:rFonts w:ascii="Aptos" w:hAnsi="Aptos" w:eastAsiaTheme="minorEastAsia"/>
          <w:sz w:val="20"/>
          <w:szCs w:val="20"/>
        </w:rPr>
        <w:t>All program information is publicly accessible and does not require a login, password, or submission of personal information to access. These resources provide comprehensive details regarding program offerings, coursework, fieldwork, and completion requirements.</w:t>
      </w:r>
    </w:p>
    <w:p w:rsidRPr="00F70359" w:rsidR="00B204E1" w:rsidP="00F70359" w:rsidRDefault="00B204E1" w14:paraId="3CB58EF1" w14:textId="77777777">
      <w:pPr>
        <w:spacing w:after="0" w:line="240" w:lineRule="auto"/>
        <w:contextualSpacing/>
        <w:rPr>
          <w:rFonts w:ascii="Aptos" w:hAnsi="Aptos"/>
          <w:sz w:val="20"/>
          <w:szCs w:val="20"/>
        </w:rPr>
      </w:pPr>
    </w:p>
    <w:p w:rsidRPr="00F70359" w:rsidR="00B204E1" w:rsidP="00F70359" w:rsidRDefault="69AB2B72" w14:paraId="36EB6820" w14:textId="77777777">
      <w:pPr>
        <w:spacing w:after="0" w:line="240" w:lineRule="auto"/>
        <w:contextualSpacing/>
        <w:rPr>
          <w:rFonts w:ascii="Aptos" w:hAnsi="Aptos"/>
          <w:b/>
          <w:bCs/>
          <w:sz w:val="22"/>
          <w:szCs w:val="22"/>
        </w:rPr>
      </w:pPr>
      <w:r w:rsidRPr="00F70359">
        <w:rPr>
          <w:rFonts w:ascii="Aptos" w:hAnsi="Aptos"/>
          <w:b/>
          <w:bCs/>
          <w:sz w:val="22"/>
          <w:szCs w:val="22"/>
        </w:rPr>
        <w:t>(11) Student Records Management, Access, and Security.</w:t>
      </w:r>
    </w:p>
    <w:p w:rsidRPr="00F70359" w:rsidR="00B204E1" w:rsidP="00F70359" w:rsidRDefault="69AB2B72" w14:paraId="7212B36D" w14:textId="77777777">
      <w:pPr>
        <w:spacing w:after="0" w:line="240" w:lineRule="auto"/>
        <w:ind w:left="360"/>
        <w:contextualSpacing/>
        <w:rPr>
          <w:rFonts w:ascii="Aptos" w:hAnsi="Aptos"/>
          <w:sz w:val="20"/>
          <w:szCs w:val="20"/>
        </w:rPr>
      </w:pPr>
      <w:r w:rsidRPr="00F70359">
        <w:rPr>
          <w:rFonts w:ascii="Aptos" w:hAnsi="Aptos"/>
          <w:sz w:val="20"/>
          <w:szCs w:val="20"/>
        </w:rPr>
        <w:t>To be granted continuing accreditation by the Committee on Accreditation, the sponsor must demonstrate that it will maintain and retain student records in accordance with the institution’s record retention policy. Institutions will provide verification that:</w:t>
      </w:r>
    </w:p>
    <w:p w:rsidRPr="00F70359" w:rsidR="00F70359" w:rsidP="00F70359" w:rsidRDefault="00F70359" w14:paraId="153ED561" w14:textId="77777777">
      <w:pPr>
        <w:spacing w:after="0" w:line="240" w:lineRule="auto"/>
        <w:ind w:left="360"/>
        <w:contextualSpacing/>
        <w:rPr>
          <w:rFonts w:ascii="Aptos" w:hAnsi="Aptos"/>
          <w:sz w:val="20"/>
          <w:szCs w:val="20"/>
        </w:rPr>
      </w:pPr>
    </w:p>
    <w:p w:rsidRPr="00F70359" w:rsidR="00B204E1" w:rsidP="00F70359" w:rsidRDefault="69AB2B72" w14:paraId="3CBF29DF" w14:textId="605695E8">
      <w:pPr>
        <w:numPr>
          <w:ilvl w:val="0"/>
          <w:numId w:val="9"/>
        </w:numPr>
        <w:spacing w:after="0" w:line="240" w:lineRule="auto"/>
        <w:ind w:left="1080"/>
        <w:contextualSpacing/>
        <w:rPr>
          <w:rFonts w:ascii="Aptos" w:hAnsi="Aptos"/>
          <w:sz w:val="20"/>
          <w:szCs w:val="20"/>
        </w:rPr>
      </w:pPr>
      <w:r w:rsidRPr="00F70359">
        <w:rPr>
          <w:rFonts w:ascii="Aptos" w:hAnsi="Aptos"/>
          <w:sz w:val="20"/>
          <w:szCs w:val="20"/>
        </w:rPr>
        <w:t>Candidates and graduates will have access to and be provided with transcripts and/or other documents for the purpose of verifying academic units and program completion.</w:t>
      </w:r>
    </w:p>
    <w:p w:rsidRPr="00F70359" w:rsidR="00B204E1" w:rsidP="00F70359" w:rsidRDefault="69AB2B72" w14:paraId="373A88D1" w14:textId="77777777">
      <w:pPr>
        <w:numPr>
          <w:ilvl w:val="0"/>
          <w:numId w:val="9"/>
        </w:numPr>
        <w:spacing w:after="0" w:line="240" w:lineRule="auto"/>
        <w:ind w:left="1080"/>
        <w:contextualSpacing/>
        <w:rPr>
          <w:rFonts w:ascii="Aptos" w:hAnsi="Aptos"/>
          <w:sz w:val="20"/>
          <w:szCs w:val="20"/>
        </w:rPr>
      </w:pPr>
      <w:r w:rsidRPr="00F70359">
        <w:rPr>
          <w:rFonts w:ascii="Aptos" w:hAnsi="Aptos"/>
          <w:sz w:val="20"/>
          <w:szCs w:val="20"/>
        </w:rPr>
        <w:t>All candidate records will be maintained at the main institutional site or central location (paper or digital copies).</w:t>
      </w:r>
    </w:p>
    <w:p w:rsidRPr="00F70359" w:rsidR="00B204E1" w:rsidP="00F70359" w:rsidRDefault="69AB2B72" w14:paraId="3FAA6954" w14:textId="77777777">
      <w:pPr>
        <w:numPr>
          <w:ilvl w:val="0"/>
          <w:numId w:val="9"/>
        </w:numPr>
        <w:spacing w:after="0" w:line="240" w:lineRule="auto"/>
        <w:ind w:left="1080"/>
        <w:contextualSpacing/>
        <w:rPr>
          <w:rFonts w:ascii="Aptos" w:hAnsi="Aptos" w:eastAsiaTheme="minorEastAsia"/>
          <w:sz w:val="20"/>
          <w:szCs w:val="20"/>
        </w:rPr>
      </w:pPr>
      <w:r w:rsidRPr="00F70359">
        <w:rPr>
          <w:rFonts w:ascii="Aptos" w:hAnsi="Aptos"/>
          <w:sz w:val="20"/>
          <w:szCs w:val="20"/>
        </w:rPr>
        <w:t>Rec</w:t>
      </w:r>
      <w:r w:rsidRPr="00F70359">
        <w:rPr>
          <w:rFonts w:ascii="Aptos" w:hAnsi="Aptos" w:eastAsiaTheme="minorEastAsia"/>
          <w:sz w:val="20"/>
          <w:szCs w:val="20"/>
        </w:rPr>
        <w:t>ords will be kept securely in locked cabinets or on a secure server located in a room not accessible by the public. </w:t>
      </w:r>
    </w:p>
    <w:p w:rsidRPr="00F70359" w:rsidR="00F70359" w:rsidP="00F70359" w:rsidRDefault="00F70359" w14:paraId="7A1877D5" w14:textId="77777777">
      <w:pPr>
        <w:spacing w:after="0" w:line="240" w:lineRule="auto"/>
        <w:ind w:left="1080"/>
        <w:contextualSpacing/>
        <w:rPr>
          <w:rFonts w:ascii="Aptos" w:hAnsi="Aptos" w:eastAsiaTheme="minorEastAsia"/>
          <w:sz w:val="20"/>
          <w:szCs w:val="20"/>
        </w:rPr>
      </w:pPr>
    </w:p>
    <w:tbl>
      <w:tblPr>
        <w:tblStyle w:val="TableGrid"/>
        <w:tblpPr w:leftFromText="180" w:rightFromText="180" w:vertAnchor="text" w:horzAnchor="margin" w:tblpXSpec="center" w:tblpY="66"/>
        <w:tblW w:w="0" w:type="auto"/>
        <w:tblLook w:val="04A0" w:firstRow="1" w:lastRow="0" w:firstColumn="1" w:lastColumn="0" w:noHBand="0" w:noVBand="1"/>
      </w:tblPr>
      <w:tblGrid>
        <w:gridCol w:w="8455"/>
      </w:tblGrid>
      <w:tr w:rsidRPr="00F70359" w:rsidR="00F70359" w:rsidTr="00F70359" w14:paraId="27397858" w14:textId="77777777">
        <w:tc>
          <w:tcPr>
            <w:tcW w:w="8455" w:type="dxa"/>
          </w:tcPr>
          <w:p w:rsidRPr="00F70359" w:rsidR="00F70359" w:rsidP="00F70359" w:rsidRDefault="00F70359" w14:paraId="15614B72" w14:textId="77777777">
            <w:pPr>
              <w:contextualSpacing/>
              <w:rPr>
                <w:rFonts w:ascii="Aptos" w:hAnsi="Aptos"/>
                <w:i/>
                <w:sz w:val="20"/>
                <w:szCs w:val="20"/>
              </w:rPr>
            </w:pPr>
            <w:r w:rsidRPr="00F70359">
              <w:rPr>
                <w:rFonts w:ascii="Aptos" w:hAnsi="Aptos"/>
                <w:i/>
                <w:iCs/>
                <w:sz w:val="20"/>
                <w:szCs w:val="20"/>
              </w:rPr>
              <w:t>Examples of </w:t>
            </w:r>
            <w:r w:rsidRPr="00F70359">
              <w:rPr>
                <w:rFonts w:ascii="Aptos" w:hAnsi="Aptos"/>
                <w:b/>
                <w:bCs/>
                <w:i/>
                <w:iCs/>
                <w:sz w:val="20"/>
                <w:szCs w:val="20"/>
              </w:rPr>
              <w:t>Acceptable </w:t>
            </w:r>
            <w:r w:rsidRPr="00F70359">
              <w:rPr>
                <w:rFonts w:ascii="Aptos" w:hAnsi="Aptos"/>
                <w:i/>
                <w:iCs/>
                <w:sz w:val="20"/>
                <w:szCs w:val="20"/>
              </w:rPr>
              <w:t>Evidence</w:t>
            </w:r>
          </w:p>
          <w:p w:rsidRPr="00F70359" w:rsidR="00F70359" w:rsidP="00F70359" w:rsidRDefault="00F70359" w14:paraId="509812C1" w14:textId="77777777">
            <w:pPr>
              <w:contextualSpacing/>
              <w:rPr>
                <w:rFonts w:ascii="Aptos" w:hAnsi="Aptos"/>
                <w:i/>
                <w:sz w:val="20"/>
                <w:szCs w:val="20"/>
              </w:rPr>
            </w:pPr>
            <w:r w:rsidRPr="00F70359">
              <w:rPr>
                <w:rFonts w:ascii="Aptos" w:hAnsi="Aptos"/>
                <w:i/>
                <w:sz w:val="20"/>
                <w:szCs w:val="20"/>
              </w:rPr>
              <w:t>A statement of assurance that student records will be maintained and retained in accordance with the institution’s record retention policy</w:t>
            </w:r>
          </w:p>
          <w:p w:rsidRPr="00F70359" w:rsidR="00F70359" w:rsidP="00F70359" w:rsidRDefault="00F70359" w14:paraId="751454BF" w14:textId="77777777">
            <w:pPr>
              <w:numPr>
                <w:ilvl w:val="0"/>
                <w:numId w:val="27"/>
              </w:numPr>
              <w:contextualSpacing/>
              <w:rPr>
                <w:rFonts w:ascii="Aptos" w:hAnsi="Aptos"/>
                <w:i/>
                <w:sz w:val="20"/>
                <w:szCs w:val="20"/>
              </w:rPr>
            </w:pPr>
            <w:r w:rsidRPr="00F70359">
              <w:rPr>
                <w:rFonts w:ascii="Aptos" w:hAnsi="Aptos"/>
                <w:i/>
                <w:sz w:val="20"/>
                <w:szCs w:val="20"/>
              </w:rPr>
              <w:t>a description of how the program provides candidates with access to their transcripts and other student records, including how candidates will have access to their records after they graduate or transfer and how they will be notified if records are scheduled for destruction.</w:t>
            </w:r>
            <w:r w:rsidRPr="00F70359">
              <w:rPr>
                <w:rFonts w:ascii="Aptos" w:hAnsi="Aptos"/>
                <w:i/>
                <w:sz w:val="20"/>
                <w:szCs w:val="20"/>
              </w:rPr>
              <w:br/>
            </w:r>
            <w:r w:rsidRPr="00F70359">
              <w:rPr>
                <w:rFonts w:ascii="Aptos" w:hAnsi="Aptos"/>
                <w:i/>
                <w:sz w:val="20"/>
                <w:szCs w:val="20"/>
              </w:rPr>
              <w:br/>
            </w:r>
            <w:r w:rsidRPr="00F70359">
              <w:rPr>
                <w:rFonts w:ascii="Aptos" w:hAnsi="Aptos"/>
                <w:b/>
                <w:bCs/>
                <w:i/>
                <w:sz w:val="20"/>
                <w:szCs w:val="20"/>
              </w:rPr>
              <w:t>AND</w:t>
            </w:r>
          </w:p>
          <w:p w:rsidRPr="00F70359" w:rsidR="00F70359" w:rsidP="00F70359" w:rsidRDefault="00F70359" w14:paraId="28040D0A" w14:textId="77777777">
            <w:pPr>
              <w:numPr>
                <w:ilvl w:val="0"/>
                <w:numId w:val="27"/>
              </w:numPr>
              <w:contextualSpacing/>
              <w:rPr>
                <w:rFonts w:ascii="Aptos" w:hAnsi="Aptos"/>
                <w:i/>
                <w:sz w:val="20"/>
                <w:szCs w:val="20"/>
              </w:rPr>
            </w:pPr>
            <w:r w:rsidRPr="00F70359">
              <w:rPr>
                <w:rFonts w:ascii="Aptos" w:hAnsi="Aptos"/>
                <w:i/>
                <w:sz w:val="20"/>
                <w:szCs w:val="20"/>
              </w:rPr>
              <w:t>an assurance/description that student records will be maintained at a central location or designated/main institutional site.</w:t>
            </w:r>
            <w:r w:rsidRPr="00F70359">
              <w:rPr>
                <w:rFonts w:ascii="Aptos" w:hAnsi="Aptos"/>
                <w:i/>
                <w:sz w:val="20"/>
                <w:szCs w:val="20"/>
              </w:rPr>
              <w:br/>
            </w:r>
            <w:r w:rsidRPr="00F70359">
              <w:rPr>
                <w:rFonts w:ascii="Aptos" w:hAnsi="Aptos"/>
                <w:i/>
                <w:sz w:val="20"/>
                <w:szCs w:val="20"/>
              </w:rPr>
              <w:br/>
            </w:r>
            <w:r w:rsidRPr="00F70359">
              <w:rPr>
                <w:rFonts w:ascii="Aptos" w:hAnsi="Aptos"/>
                <w:b/>
                <w:bCs/>
                <w:i/>
                <w:sz w:val="20"/>
                <w:szCs w:val="20"/>
              </w:rPr>
              <w:t>AND</w:t>
            </w:r>
          </w:p>
          <w:p w:rsidRPr="00F70359" w:rsidR="00F70359" w:rsidP="00F70359" w:rsidRDefault="00F70359" w14:paraId="3E74F074" w14:textId="77777777">
            <w:pPr>
              <w:numPr>
                <w:ilvl w:val="0"/>
                <w:numId w:val="27"/>
              </w:numPr>
              <w:contextualSpacing/>
              <w:rPr>
                <w:rFonts w:ascii="Aptos" w:hAnsi="Aptos"/>
                <w:sz w:val="20"/>
                <w:szCs w:val="20"/>
              </w:rPr>
            </w:pPr>
            <w:r w:rsidRPr="00F70359">
              <w:rPr>
                <w:rFonts w:ascii="Aptos" w:hAnsi="Aptos"/>
                <w:i/>
                <w:sz w:val="20"/>
                <w:szCs w:val="20"/>
              </w:rPr>
              <w:t>an assurance or description that indicates that the location in which the student records are housed are secured (locked cabinets or secure server) and not accessible by the public.</w:t>
            </w:r>
          </w:p>
        </w:tc>
      </w:tr>
    </w:tbl>
    <w:p w:rsidRPr="00F70359" w:rsidR="00B204E1" w:rsidP="00F70359" w:rsidRDefault="00B204E1" w14:paraId="462231F5" w14:textId="6C978602">
      <w:pPr>
        <w:spacing w:after="0" w:line="240" w:lineRule="auto"/>
        <w:contextualSpacing/>
        <w:rPr>
          <w:rFonts w:ascii="Aptos" w:hAnsi="Aptos" w:eastAsiaTheme="minorEastAsia"/>
          <w:sz w:val="20"/>
          <w:szCs w:val="20"/>
        </w:rPr>
      </w:pPr>
    </w:p>
    <w:p w:rsidRPr="00F70359" w:rsidR="00F70359" w:rsidP="00F70359" w:rsidRDefault="00F70359" w14:paraId="5C345DEA" w14:textId="006C3317">
      <w:pPr>
        <w:spacing w:after="0" w:line="240" w:lineRule="auto"/>
        <w:ind w:left="720"/>
        <w:contextualSpacing/>
        <w:rPr>
          <w:rFonts w:ascii="Aptos" w:hAnsi="Aptos" w:eastAsiaTheme="minorEastAsia"/>
          <w:sz w:val="20"/>
          <w:szCs w:val="20"/>
        </w:rPr>
      </w:pPr>
      <w:r w:rsidRPr="00F70359">
        <w:rPr>
          <w:rFonts w:ascii="Aptos" w:hAnsi="Aptos" w:eastAsiaTheme="minorEastAsia"/>
          <w:sz w:val="20"/>
          <w:szCs w:val="20"/>
        </w:rPr>
        <w:t xml:space="preserve">All program coursework is documented on candidate transcripts, which are accessible to candidates and graduates for verification of academic units and program completion through the </w:t>
      </w:r>
      <w:hyperlink w:history="1" w:anchor="htorder" r:id="rId21">
        <w:r w:rsidRPr="00F70359">
          <w:rPr>
            <w:rStyle w:val="Hyperlink"/>
            <w:rFonts w:ascii="Aptos" w:hAnsi="Aptos" w:eastAsiaTheme="minorEastAsia"/>
            <w:sz w:val="20"/>
            <w:szCs w:val="20"/>
          </w:rPr>
          <w:t>University Registrar/Transcript Request System</w:t>
        </w:r>
      </w:hyperlink>
      <w:r w:rsidRPr="00F70359">
        <w:rPr>
          <w:rFonts w:ascii="Aptos" w:hAnsi="Aptos" w:eastAsiaTheme="minorEastAsia"/>
          <w:sz w:val="20"/>
          <w:szCs w:val="20"/>
        </w:rPr>
        <w:t>. At the end of the program, a credential analyst uses Degree Tracker or the Degree Program Evaluation (DPE) system to verify that all credential requirements are satisfied.</w:t>
      </w:r>
    </w:p>
    <w:p w:rsidRPr="00F70359" w:rsidR="00F70359" w:rsidP="00F70359" w:rsidRDefault="00F70359" w14:paraId="7A107905" w14:textId="77777777">
      <w:pPr>
        <w:spacing w:after="0" w:line="240" w:lineRule="auto"/>
        <w:ind w:left="720"/>
        <w:contextualSpacing/>
        <w:rPr>
          <w:rFonts w:ascii="Aptos" w:hAnsi="Aptos" w:eastAsiaTheme="minorEastAsia"/>
          <w:sz w:val="20"/>
          <w:szCs w:val="20"/>
        </w:rPr>
      </w:pPr>
    </w:p>
    <w:p w:rsidRPr="00F70359" w:rsidR="00F70359" w:rsidP="00F70359" w:rsidRDefault="00F70359" w14:paraId="6003B33F" w14:textId="24D3683D">
      <w:pPr>
        <w:spacing w:after="0" w:line="240" w:lineRule="auto"/>
        <w:ind w:left="720"/>
        <w:contextualSpacing/>
        <w:rPr>
          <w:rFonts w:ascii="Aptos" w:hAnsi="Aptos" w:eastAsiaTheme="minorEastAsia"/>
          <w:sz w:val="20"/>
          <w:szCs w:val="20"/>
        </w:rPr>
      </w:pPr>
      <w:r w:rsidRPr="00F70359">
        <w:rPr>
          <w:rFonts w:ascii="Aptos" w:hAnsi="Aptos" w:eastAsiaTheme="minorEastAsia"/>
          <w:sz w:val="20"/>
          <w:szCs w:val="20"/>
        </w:rPr>
        <w:t xml:space="preserve">Admission and program records are maintained electronically at a central institutional location. Credential analysts store credential issuance records and all pertinent student records digitally upon program completion in accordance with the University’s </w:t>
      </w:r>
      <w:hyperlink w:history="1" r:id="rId22">
        <w:r w:rsidRPr="00F70359">
          <w:rPr>
            <w:rStyle w:val="Hyperlink"/>
            <w:rFonts w:ascii="Aptos" w:hAnsi="Aptos" w:eastAsiaTheme="minorEastAsia"/>
            <w:sz w:val="20"/>
            <w:szCs w:val="20"/>
          </w:rPr>
          <w:t>record retention policy</w:t>
        </w:r>
      </w:hyperlink>
      <w:r w:rsidRPr="00F70359">
        <w:rPr>
          <w:rFonts w:ascii="Aptos" w:hAnsi="Aptos" w:eastAsiaTheme="minorEastAsia"/>
          <w:sz w:val="20"/>
          <w:szCs w:val="20"/>
        </w:rPr>
        <w:t>.</w:t>
      </w:r>
    </w:p>
    <w:p w:rsidRPr="00F70359" w:rsidR="00F70359" w:rsidP="00F70359" w:rsidRDefault="00F70359" w14:paraId="412F2E39" w14:textId="77777777">
      <w:pPr>
        <w:spacing w:after="0" w:line="240" w:lineRule="auto"/>
        <w:ind w:left="720"/>
        <w:contextualSpacing/>
        <w:rPr>
          <w:rFonts w:ascii="Aptos" w:hAnsi="Aptos" w:eastAsiaTheme="minorEastAsia"/>
          <w:sz w:val="20"/>
          <w:szCs w:val="20"/>
        </w:rPr>
      </w:pPr>
    </w:p>
    <w:p w:rsidRPr="00F70359" w:rsidR="00F70359" w:rsidP="00F70359" w:rsidRDefault="00F70359" w14:paraId="09005E8B" w14:textId="77777777">
      <w:pPr>
        <w:spacing w:after="0" w:line="240" w:lineRule="auto"/>
        <w:ind w:left="720"/>
        <w:contextualSpacing/>
        <w:rPr>
          <w:rFonts w:ascii="Aptos" w:hAnsi="Aptos" w:eastAsiaTheme="minorEastAsia"/>
          <w:sz w:val="20"/>
          <w:szCs w:val="20"/>
        </w:rPr>
      </w:pPr>
      <w:r w:rsidRPr="00F70359">
        <w:rPr>
          <w:rFonts w:ascii="Aptos" w:hAnsi="Aptos" w:eastAsiaTheme="minorEastAsia"/>
          <w:sz w:val="20"/>
          <w:szCs w:val="20"/>
        </w:rPr>
        <w:t>Pre-COVID paper records of completed students are retained and purged after seven (7) years following CTC posting of the credential, in alignment with institutional policy. Paper student records are stored in locked file cabinets in secured offices with access limited to authorized personnel. Digital records are maintained on the University’s secure network server, which is not accessible to the public.</w:t>
      </w:r>
    </w:p>
    <w:p w:rsidRPr="00F70359" w:rsidR="00F70359" w:rsidP="00F70359" w:rsidRDefault="00F70359" w14:paraId="708D0363" w14:textId="77777777">
      <w:pPr>
        <w:spacing w:after="0" w:line="240" w:lineRule="auto"/>
        <w:ind w:left="720"/>
        <w:contextualSpacing/>
        <w:rPr>
          <w:rFonts w:ascii="Aptos" w:hAnsi="Aptos" w:eastAsiaTheme="minorEastAsia"/>
          <w:sz w:val="20"/>
          <w:szCs w:val="20"/>
        </w:rPr>
      </w:pPr>
    </w:p>
    <w:p w:rsidRPr="00F70359" w:rsidR="00F70359" w:rsidP="431A1144" w:rsidRDefault="00F70359" w14:paraId="6E37A820" w14:textId="0E5C8841">
      <w:pPr>
        <w:pStyle w:val="Normal"/>
        <w:spacing w:after="0" w:line="240" w:lineRule="auto"/>
        <w:ind w:left="720"/>
        <w:contextualSpacing w:val="1"/>
        <w:rPr>
          <w:rFonts w:ascii="Aptos" w:hAnsi="Aptos" w:eastAsia="等线" w:eastAsiaTheme="minorEastAsia"/>
          <w:sz w:val="20"/>
          <w:szCs w:val="20"/>
        </w:rPr>
      </w:pPr>
      <w:r w:rsidRPr="431A1144" w:rsidR="00F70359">
        <w:rPr>
          <w:rFonts w:ascii="Aptos" w:hAnsi="Aptos" w:eastAsia="等线" w:eastAsiaTheme="minorEastAsia"/>
          <w:sz w:val="20"/>
          <w:szCs w:val="20"/>
        </w:rPr>
        <w:t xml:space="preserve">The University ensures that all student records are </w:t>
      </w:r>
      <w:r w:rsidRPr="431A1144" w:rsidR="00F70359">
        <w:rPr>
          <w:rFonts w:ascii="Aptos" w:hAnsi="Aptos" w:eastAsia="等线" w:eastAsiaTheme="minorEastAsia"/>
          <w:sz w:val="20"/>
          <w:szCs w:val="20"/>
        </w:rPr>
        <w:t>maintained</w:t>
      </w:r>
      <w:r w:rsidRPr="431A1144" w:rsidR="00F70359">
        <w:rPr>
          <w:rFonts w:ascii="Aptos" w:hAnsi="Aptos" w:eastAsia="等线" w:eastAsiaTheme="minorEastAsia"/>
          <w:sz w:val="20"/>
          <w:szCs w:val="20"/>
        </w:rPr>
        <w:t xml:space="preserve"> securely and in compliance with institutional policies </w:t>
      </w:r>
      <w:r w:rsidRPr="431A1144" w:rsidR="00F70359">
        <w:rPr>
          <w:rFonts w:ascii="Aptos" w:hAnsi="Aptos" w:eastAsia="等线" w:eastAsiaTheme="minorEastAsia"/>
          <w:sz w:val="20"/>
          <w:szCs w:val="20"/>
        </w:rPr>
        <w:t>regarding</w:t>
      </w:r>
      <w:r w:rsidRPr="431A1144" w:rsidR="00F70359">
        <w:rPr>
          <w:rFonts w:ascii="Aptos" w:hAnsi="Aptos" w:eastAsia="等线" w:eastAsiaTheme="minorEastAsia"/>
          <w:sz w:val="20"/>
          <w:szCs w:val="20"/>
        </w:rPr>
        <w:t xml:space="preserve"> access, retention, and confidenti</w:t>
      </w:r>
      <w:r w:rsidRPr="431A1144" w:rsidR="00F70359">
        <w:rPr>
          <w:rFonts w:ascii="Aptos" w:hAnsi="Aptos" w:eastAsia="等线" w:eastAsiaTheme="minorEastAsia"/>
          <w:sz w:val="20"/>
          <w:szCs w:val="20"/>
        </w:rPr>
        <w:t xml:space="preserve">ality. </w:t>
      </w:r>
      <w:r w:rsidRPr="431A1144" w:rsidR="00F70359">
        <w:rPr>
          <w:rFonts w:ascii="Aptos" w:hAnsi="Aptos" w:eastAsia="等线" w:eastAsiaTheme="minorEastAsia"/>
          <w:sz w:val="20"/>
          <w:szCs w:val="20"/>
        </w:rPr>
        <w:t xml:space="preserve">(See </w:t>
      </w:r>
      <w:hyperlink r:id="R60ae464fad034dc6">
        <w:r w:rsidRPr="431A1144" w:rsidR="4747BF13">
          <w:rPr>
            <w:rStyle w:val="Hyperlink"/>
            <w:rFonts w:ascii="Aptos" w:hAnsi="Aptos" w:eastAsia="Times New Roman" w:cs="Times New Roman"/>
            <w:sz w:val="20"/>
            <w:szCs w:val="20"/>
            <w:lang w:eastAsia="zh-CN"/>
          </w:rPr>
          <w:t>Letter of Assurance</w:t>
        </w:r>
      </w:hyperlink>
      <w:r w:rsidRPr="431A1144" w:rsidR="00F70359">
        <w:rPr>
          <w:rFonts w:ascii="Aptos" w:hAnsi="Aptos" w:eastAsia="等线" w:eastAsiaTheme="minorEastAsia"/>
          <w:sz w:val="20"/>
          <w:szCs w:val="20"/>
        </w:rPr>
        <w:t>)</w:t>
      </w:r>
    </w:p>
    <w:p w:rsidRPr="00F70359" w:rsidR="00F70359" w:rsidP="00F70359" w:rsidRDefault="00F70359" w14:paraId="5A83DE04" w14:textId="77777777">
      <w:pPr>
        <w:spacing w:after="0" w:line="240" w:lineRule="auto"/>
        <w:ind w:left="720"/>
        <w:contextualSpacing/>
        <w:rPr>
          <w:rFonts w:ascii="Aptos" w:hAnsi="Aptos" w:eastAsiaTheme="minorEastAsia"/>
          <w:sz w:val="20"/>
          <w:szCs w:val="20"/>
        </w:rPr>
      </w:pPr>
    </w:p>
    <w:p w:rsidRPr="00F70359" w:rsidR="5414E5EC" w:rsidP="00F70359" w:rsidRDefault="5414E5EC" w14:paraId="07B2753A" w14:textId="77777777">
      <w:pPr>
        <w:spacing w:after="0" w:line="240" w:lineRule="auto"/>
        <w:contextualSpacing/>
        <w:rPr>
          <w:rFonts w:ascii="Aptos" w:hAnsi="Aptos"/>
          <w:b/>
          <w:bCs/>
          <w:sz w:val="22"/>
          <w:szCs w:val="22"/>
        </w:rPr>
      </w:pPr>
      <w:r w:rsidRPr="00F70359">
        <w:rPr>
          <w:rFonts w:ascii="Aptos" w:hAnsi="Aptos"/>
          <w:b/>
          <w:bCs/>
          <w:sz w:val="22"/>
          <w:szCs w:val="22"/>
        </w:rPr>
        <w:t>(12) Disclosure.</w:t>
      </w:r>
    </w:p>
    <w:p w:rsidRPr="00F70359" w:rsidR="5414E5EC" w:rsidP="00F70359" w:rsidRDefault="5414E5EC" w14:paraId="16963746" w14:textId="77777777">
      <w:pPr>
        <w:spacing w:after="0" w:line="240" w:lineRule="auto"/>
        <w:ind w:left="420"/>
        <w:contextualSpacing/>
        <w:rPr>
          <w:rFonts w:ascii="Aptos" w:hAnsi="Aptos" w:eastAsiaTheme="minorEastAsia"/>
          <w:sz w:val="20"/>
          <w:szCs w:val="20"/>
        </w:rPr>
      </w:pPr>
      <w:r w:rsidRPr="00F70359">
        <w:rPr>
          <w:rFonts w:ascii="Aptos" w:hAnsi="Aptos"/>
          <w:sz w:val="20"/>
          <w:szCs w:val="20"/>
        </w:rPr>
        <w:t xml:space="preserve">Institutions must disclose information regarding any outside organizations that will be providing any direct educational services as </w:t>
      </w:r>
      <w:proofErr w:type="gramStart"/>
      <w:r w:rsidRPr="00F70359">
        <w:rPr>
          <w:rFonts w:ascii="Aptos" w:hAnsi="Aptos"/>
          <w:sz w:val="20"/>
          <w:szCs w:val="20"/>
        </w:rPr>
        <w:t>all</w:t>
      </w:r>
      <w:proofErr w:type="gramEnd"/>
      <w:r w:rsidRPr="00F70359">
        <w:rPr>
          <w:rFonts w:ascii="Aptos" w:hAnsi="Aptos"/>
          <w:sz w:val="20"/>
          <w:szCs w:val="20"/>
        </w:rPr>
        <w:t xml:space="preserve"> or part of the educator preparation programs sponsored by the institution and identify the type of services the outside organization will provide</w:t>
      </w:r>
      <w:r w:rsidRPr="00F70359">
        <w:rPr>
          <w:rFonts w:ascii="Aptos" w:hAnsi="Aptos" w:eastAsiaTheme="minorEastAsia"/>
          <w:sz w:val="20"/>
          <w:szCs w:val="20"/>
        </w:rPr>
        <w:t>. </w:t>
      </w:r>
    </w:p>
    <w:tbl>
      <w:tblPr>
        <w:tblStyle w:val="TableGrid"/>
        <w:tblpPr w:leftFromText="180" w:rightFromText="180" w:vertAnchor="text" w:horzAnchor="margin" w:tblpX="445" w:tblpY="142"/>
        <w:tblW w:w="0" w:type="auto"/>
        <w:tblLook w:val="04A0" w:firstRow="1" w:lastRow="0" w:firstColumn="1" w:lastColumn="0" w:noHBand="0" w:noVBand="1"/>
      </w:tblPr>
      <w:tblGrid>
        <w:gridCol w:w="8905"/>
      </w:tblGrid>
      <w:tr w:rsidRPr="00F70359" w:rsidR="00F70359" w:rsidTr="00F70359" w14:paraId="3EE9FF8A" w14:textId="77777777">
        <w:tc>
          <w:tcPr>
            <w:tcW w:w="8905" w:type="dxa"/>
          </w:tcPr>
          <w:p w:rsidRPr="00F70359" w:rsidR="00F70359" w:rsidP="00F70359" w:rsidRDefault="00F70359" w14:paraId="36BEE8F2" w14:textId="77777777">
            <w:pPr>
              <w:contextualSpacing/>
              <w:rPr>
                <w:rFonts w:ascii="Aptos" w:hAnsi="Aptos"/>
                <w:i/>
                <w:sz w:val="20"/>
                <w:szCs w:val="20"/>
              </w:rPr>
            </w:pPr>
            <w:r w:rsidRPr="00F70359">
              <w:rPr>
                <w:rFonts w:ascii="Aptos" w:hAnsi="Aptos"/>
                <w:i/>
                <w:iCs/>
                <w:sz w:val="20"/>
                <w:szCs w:val="20"/>
              </w:rPr>
              <w:t>Examples of </w:t>
            </w:r>
            <w:r w:rsidRPr="00F70359">
              <w:rPr>
                <w:rFonts w:ascii="Aptos" w:hAnsi="Aptos"/>
                <w:b/>
                <w:bCs/>
                <w:i/>
                <w:iCs/>
                <w:sz w:val="20"/>
                <w:szCs w:val="20"/>
              </w:rPr>
              <w:t>Acceptable </w:t>
            </w:r>
            <w:r w:rsidRPr="00F70359">
              <w:rPr>
                <w:rFonts w:ascii="Aptos" w:hAnsi="Aptos"/>
                <w:i/>
                <w:iCs/>
                <w:sz w:val="20"/>
                <w:szCs w:val="20"/>
              </w:rPr>
              <w:t>Evidence</w:t>
            </w:r>
          </w:p>
          <w:p w:rsidRPr="00F70359" w:rsidR="00F70359" w:rsidP="00F70359" w:rsidRDefault="00F70359" w14:paraId="54FB5F88" w14:textId="77777777">
            <w:pPr>
              <w:contextualSpacing/>
              <w:rPr>
                <w:rFonts w:ascii="Aptos" w:hAnsi="Aptos"/>
                <w:i/>
                <w:sz w:val="20"/>
                <w:szCs w:val="20"/>
              </w:rPr>
            </w:pPr>
            <w:r w:rsidRPr="00F70359">
              <w:rPr>
                <w:rFonts w:ascii="Aptos" w:hAnsi="Aptos"/>
                <w:i/>
                <w:sz w:val="20"/>
                <w:szCs w:val="20"/>
              </w:rPr>
              <w:t>Either</w:t>
            </w:r>
          </w:p>
          <w:p w:rsidRPr="00F70359" w:rsidR="00F70359" w:rsidP="00F70359" w:rsidRDefault="00F70359" w14:paraId="4A8CD985" w14:textId="77777777">
            <w:pPr>
              <w:numPr>
                <w:ilvl w:val="0"/>
                <w:numId w:val="28"/>
              </w:numPr>
              <w:contextualSpacing/>
              <w:rPr>
                <w:rFonts w:ascii="Aptos" w:hAnsi="Aptos"/>
                <w:i/>
                <w:sz w:val="20"/>
                <w:szCs w:val="20"/>
              </w:rPr>
            </w:pPr>
            <w:r w:rsidRPr="00F70359">
              <w:rPr>
                <w:rFonts w:ascii="Aptos" w:hAnsi="Aptos"/>
                <w:i/>
                <w:sz w:val="20"/>
                <w:szCs w:val="20"/>
              </w:rPr>
              <w:t>an assurance statement that the institution does not use any outside entity to provide direct educational services to candidates,</w:t>
            </w:r>
            <w:r w:rsidRPr="00F70359">
              <w:rPr>
                <w:rFonts w:ascii="Aptos" w:hAnsi="Aptos"/>
                <w:i/>
                <w:sz w:val="20"/>
                <w:szCs w:val="20"/>
              </w:rPr>
              <w:br/>
            </w:r>
            <w:r w:rsidRPr="00F70359">
              <w:rPr>
                <w:rFonts w:ascii="Aptos" w:hAnsi="Aptos"/>
                <w:i/>
                <w:sz w:val="20"/>
                <w:szCs w:val="20"/>
              </w:rPr>
              <w:br/>
            </w:r>
            <w:r w:rsidRPr="00F70359">
              <w:rPr>
                <w:rFonts w:ascii="Aptos" w:hAnsi="Aptos"/>
                <w:b/>
                <w:bCs/>
                <w:i/>
                <w:sz w:val="20"/>
                <w:szCs w:val="20"/>
              </w:rPr>
              <w:t>OR</w:t>
            </w:r>
          </w:p>
          <w:p w:rsidRPr="00F70359" w:rsidR="00F70359" w:rsidP="00F70359" w:rsidRDefault="00F70359" w14:paraId="1881997D" w14:textId="77777777">
            <w:pPr>
              <w:numPr>
                <w:ilvl w:val="0"/>
                <w:numId w:val="28"/>
              </w:numPr>
              <w:contextualSpacing/>
              <w:rPr>
                <w:rFonts w:ascii="Aptos" w:hAnsi="Aptos"/>
                <w:sz w:val="20"/>
                <w:szCs w:val="20"/>
              </w:rPr>
            </w:pPr>
            <w:r w:rsidRPr="00F70359">
              <w:rPr>
                <w:rFonts w:ascii="Aptos" w:hAnsi="Aptos"/>
                <w:i/>
                <w:sz w:val="20"/>
                <w:szCs w:val="20"/>
              </w:rPr>
              <w:t>A list of the outside organizations and what their role is in providing direct services to candidates. This may include partner institutions that are not approved program sponsors, pre- packaged curriculum providers, and other individuals or entities that the approved institution gives all or partial responsibility to providing all or partial educational services to candidates, including but not limited to coursework/curriculum, field supervision, advisement, and/or admissions.</w:t>
            </w:r>
          </w:p>
        </w:tc>
      </w:tr>
    </w:tbl>
    <w:p w:rsidRPr="00F70359" w:rsidR="11111512" w:rsidP="00F70359" w:rsidRDefault="11111512" w14:paraId="5C42C209" w14:textId="1CE2BEA6">
      <w:pPr>
        <w:spacing w:after="0" w:line="240" w:lineRule="auto"/>
        <w:ind w:left="420"/>
        <w:contextualSpacing/>
        <w:rPr>
          <w:rFonts w:ascii="Aptos" w:hAnsi="Aptos" w:eastAsiaTheme="minorEastAsia"/>
          <w:sz w:val="20"/>
          <w:szCs w:val="20"/>
        </w:rPr>
      </w:pPr>
    </w:p>
    <w:p w:rsidR="00FC03A7" w:rsidP="00FC03A7" w:rsidRDefault="00FC03A7" w14:paraId="4973E1DC" w14:textId="77777777">
      <w:pPr>
        <w:spacing w:after="0" w:line="240" w:lineRule="auto"/>
        <w:ind w:left="720"/>
        <w:contextualSpacing/>
        <w:rPr>
          <w:rFonts w:ascii="Aptos" w:hAnsi="Aptos" w:eastAsiaTheme="minorEastAsia"/>
          <w:sz w:val="20"/>
          <w:szCs w:val="20"/>
        </w:rPr>
      </w:pPr>
      <w:r w:rsidRPr="00FC03A7">
        <w:rPr>
          <w:rFonts w:ascii="Aptos" w:hAnsi="Aptos" w:eastAsiaTheme="minorEastAsia"/>
          <w:sz w:val="20"/>
          <w:szCs w:val="20"/>
        </w:rPr>
        <w:t xml:space="preserve">No outside organizations provide any direct educational services as </w:t>
      </w:r>
      <w:proofErr w:type="gramStart"/>
      <w:r w:rsidRPr="00FC03A7">
        <w:rPr>
          <w:rFonts w:ascii="Aptos" w:hAnsi="Aptos" w:eastAsiaTheme="minorEastAsia"/>
          <w:sz w:val="20"/>
          <w:szCs w:val="20"/>
        </w:rPr>
        <w:t>all</w:t>
      </w:r>
      <w:proofErr w:type="gramEnd"/>
      <w:r w:rsidRPr="00FC03A7">
        <w:rPr>
          <w:rFonts w:ascii="Aptos" w:hAnsi="Aptos" w:eastAsiaTheme="minorEastAsia"/>
          <w:sz w:val="20"/>
          <w:szCs w:val="20"/>
        </w:rPr>
        <w:t xml:space="preserve"> or part of the educator preparation programs sponsored by the LaFetra College of Education. All coursework, field supervision, advisement, and program oversight are delivered by </w:t>
      </w:r>
      <w:proofErr w:type="gramStart"/>
      <w:r w:rsidRPr="00FC03A7">
        <w:rPr>
          <w:rFonts w:ascii="Aptos" w:hAnsi="Aptos" w:eastAsiaTheme="minorEastAsia"/>
          <w:sz w:val="20"/>
          <w:szCs w:val="20"/>
        </w:rPr>
        <w:t>University</w:t>
      </w:r>
      <w:proofErr w:type="gramEnd"/>
      <w:r w:rsidRPr="00FC03A7">
        <w:rPr>
          <w:rFonts w:ascii="Aptos" w:hAnsi="Aptos" w:eastAsiaTheme="minorEastAsia"/>
          <w:sz w:val="20"/>
          <w:szCs w:val="20"/>
        </w:rPr>
        <w:t xml:space="preserve"> personnel employed by the institution.</w:t>
      </w:r>
    </w:p>
    <w:p w:rsidRPr="00FC03A7" w:rsidR="00FC03A7" w:rsidP="00FC03A7" w:rsidRDefault="00FC03A7" w14:paraId="06CD172E" w14:textId="77777777">
      <w:pPr>
        <w:spacing w:after="0" w:line="240" w:lineRule="auto"/>
        <w:ind w:left="720"/>
        <w:contextualSpacing/>
        <w:rPr>
          <w:rFonts w:ascii="Aptos" w:hAnsi="Aptos" w:eastAsiaTheme="minorEastAsia"/>
          <w:sz w:val="20"/>
          <w:szCs w:val="20"/>
        </w:rPr>
      </w:pPr>
    </w:p>
    <w:p w:rsidRPr="00FC03A7" w:rsidR="00FC03A7" w:rsidP="431A1144" w:rsidRDefault="00FC03A7" w14:paraId="7DAC9EF1" w14:textId="69368FE3">
      <w:pPr>
        <w:pStyle w:val="Normal"/>
        <w:spacing w:after="0" w:line="240" w:lineRule="auto"/>
        <w:ind w:left="720"/>
        <w:contextualSpacing w:val="1"/>
        <w:rPr>
          <w:rFonts w:ascii="Aptos" w:hAnsi="Aptos" w:eastAsia="等线" w:eastAsiaTheme="minorEastAsia"/>
          <w:sz w:val="20"/>
          <w:szCs w:val="20"/>
        </w:rPr>
      </w:pPr>
      <w:r w:rsidRPr="431A1144" w:rsidR="00FC03A7">
        <w:rPr>
          <w:rFonts w:ascii="Aptos" w:hAnsi="Aptos" w:eastAsia="等线" w:eastAsiaTheme="minorEastAsia"/>
          <w:sz w:val="20"/>
          <w:szCs w:val="20"/>
        </w:rPr>
        <w:t xml:space="preserve">This assurance is documented in the </w:t>
      </w:r>
      <w:hyperlink r:id="R5bf8b43742e44d76">
        <w:r w:rsidRPr="431A1144" w:rsidR="603AE460">
          <w:rPr>
            <w:rStyle w:val="Hyperlink"/>
            <w:rFonts w:ascii="Aptos" w:hAnsi="Aptos" w:eastAsia="Times New Roman" w:cs="Times New Roman"/>
            <w:sz w:val="20"/>
            <w:szCs w:val="20"/>
            <w:lang w:eastAsia="zh-CN"/>
          </w:rPr>
          <w:t>Letter of Assurance</w:t>
        </w:r>
      </w:hyperlink>
      <w:r w:rsidRPr="431A1144" w:rsidR="00FC03A7">
        <w:rPr>
          <w:rFonts w:ascii="Aptos" w:hAnsi="Aptos" w:eastAsia="等线" w:eastAsiaTheme="minorEastAsia"/>
          <w:sz w:val="20"/>
          <w:szCs w:val="20"/>
        </w:rPr>
        <w:t>.</w:t>
      </w:r>
    </w:p>
    <w:p w:rsidRPr="00F70359" w:rsidR="00B204E1" w:rsidP="00F70359" w:rsidRDefault="00B204E1" w14:paraId="5E9A27DC" w14:textId="05C26C0E">
      <w:pPr>
        <w:spacing w:after="0" w:line="240" w:lineRule="auto"/>
        <w:contextualSpacing/>
        <w:rPr>
          <w:rFonts w:ascii="Aptos" w:hAnsi="Aptos"/>
          <w:sz w:val="20"/>
          <w:szCs w:val="20"/>
        </w:rPr>
      </w:pPr>
    </w:p>
    <w:sectPr w:rsidRPr="00F70359" w:rsidR="00B204E1">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945DAA"/>
    <w:multiLevelType w:val="multilevel"/>
    <w:tmpl w:val="2E58458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 w15:restartNumberingAfterBreak="0">
    <w:nsid w:val="0FA8509B"/>
    <w:multiLevelType w:val="multilevel"/>
    <w:tmpl w:val="2C6C6F3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 w15:restartNumberingAfterBreak="0">
    <w:nsid w:val="152977CA"/>
    <w:multiLevelType w:val="multilevel"/>
    <w:tmpl w:val="BA3ADF5C"/>
    <w:lvl w:ilvl="0">
      <w:start w:val="1"/>
      <w:numFmt w:val="lowerRoman"/>
      <w:lvlText w:val="%1."/>
      <w:lvlJc w:val="right"/>
      <w:pPr>
        <w:tabs>
          <w:tab w:val="num" w:pos="1080"/>
        </w:tabs>
        <w:ind w:left="1080" w:hanging="360"/>
      </w:pPr>
    </w:lvl>
    <w:lvl w:ilvl="1" w:tentative="1">
      <w:start w:val="1"/>
      <w:numFmt w:val="lowerRoman"/>
      <w:lvlText w:val="%2."/>
      <w:lvlJc w:val="right"/>
      <w:pPr>
        <w:tabs>
          <w:tab w:val="num" w:pos="1800"/>
        </w:tabs>
        <w:ind w:left="1800" w:hanging="360"/>
      </w:pPr>
    </w:lvl>
    <w:lvl w:ilvl="2" w:tentative="1">
      <w:start w:val="1"/>
      <w:numFmt w:val="lowerRoman"/>
      <w:lvlText w:val="%3."/>
      <w:lvlJc w:val="right"/>
      <w:pPr>
        <w:tabs>
          <w:tab w:val="num" w:pos="2520"/>
        </w:tabs>
        <w:ind w:left="2520" w:hanging="360"/>
      </w:pPr>
    </w:lvl>
    <w:lvl w:ilvl="3" w:tentative="1">
      <w:start w:val="1"/>
      <w:numFmt w:val="lowerRoman"/>
      <w:lvlText w:val="%4."/>
      <w:lvlJc w:val="right"/>
      <w:pPr>
        <w:tabs>
          <w:tab w:val="num" w:pos="3240"/>
        </w:tabs>
        <w:ind w:left="3240" w:hanging="360"/>
      </w:pPr>
    </w:lvl>
    <w:lvl w:ilvl="4" w:tentative="1">
      <w:start w:val="1"/>
      <w:numFmt w:val="lowerRoman"/>
      <w:lvlText w:val="%5."/>
      <w:lvlJc w:val="right"/>
      <w:pPr>
        <w:tabs>
          <w:tab w:val="num" w:pos="3960"/>
        </w:tabs>
        <w:ind w:left="3960" w:hanging="360"/>
      </w:pPr>
    </w:lvl>
    <w:lvl w:ilvl="5" w:tentative="1">
      <w:start w:val="1"/>
      <w:numFmt w:val="lowerRoman"/>
      <w:lvlText w:val="%6."/>
      <w:lvlJc w:val="right"/>
      <w:pPr>
        <w:tabs>
          <w:tab w:val="num" w:pos="4680"/>
        </w:tabs>
        <w:ind w:left="4680" w:hanging="360"/>
      </w:pPr>
    </w:lvl>
    <w:lvl w:ilvl="6" w:tentative="1">
      <w:start w:val="1"/>
      <w:numFmt w:val="lowerRoman"/>
      <w:lvlText w:val="%7."/>
      <w:lvlJc w:val="right"/>
      <w:pPr>
        <w:tabs>
          <w:tab w:val="num" w:pos="5400"/>
        </w:tabs>
        <w:ind w:left="5400" w:hanging="360"/>
      </w:pPr>
    </w:lvl>
    <w:lvl w:ilvl="7" w:tentative="1">
      <w:start w:val="1"/>
      <w:numFmt w:val="lowerRoman"/>
      <w:lvlText w:val="%8."/>
      <w:lvlJc w:val="right"/>
      <w:pPr>
        <w:tabs>
          <w:tab w:val="num" w:pos="6120"/>
        </w:tabs>
        <w:ind w:left="6120" w:hanging="360"/>
      </w:pPr>
    </w:lvl>
    <w:lvl w:ilvl="8" w:tentative="1">
      <w:start w:val="1"/>
      <w:numFmt w:val="lowerRoman"/>
      <w:lvlText w:val="%9."/>
      <w:lvlJc w:val="right"/>
      <w:pPr>
        <w:tabs>
          <w:tab w:val="num" w:pos="6840"/>
        </w:tabs>
        <w:ind w:left="6840" w:hanging="360"/>
      </w:pPr>
    </w:lvl>
  </w:abstractNum>
  <w:abstractNum w:abstractNumId="3" w15:restartNumberingAfterBreak="0">
    <w:nsid w:val="16AC6C23"/>
    <w:multiLevelType w:val="multilevel"/>
    <w:tmpl w:val="8D42816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15:restartNumberingAfterBreak="0">
    <w:nsid w:val="1A486AAB"/>
    <w:multiLevelType w:val="multilevel"/>
    <w:tmpl w:val="E1063AA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5" w15:restartNumberingAfterBreak="0">
    <w:nsid w:val="21045F44"/>
    <w:multiLevelType w:val="multilevel"/>
    <w:tmpl w:val="DAA44E5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6" w15:restartNumberingAfterBreak="0">
    <w:nsid w:val="22616E84"/>
    <w:multiLevelType w:val="hybridMultilevel"/>
    <w:tmpl w:val="B81A4AA4"/>
    <w:lvl w:ilvl="0" w:tplc="D2E67AD2">
      <w:start w:val="1"/>
      <w:numFmt w:val="bullet"/>
      <w:lvlText w:val=""/>
      <w:lvlJc w:val="left"/>
      <w:pPr>
        <w:ind w:left="1080" w:hanging="360"/>
      </w:pPr>
      <w:rPr>
        <w:rFonts w:hint="default" w:ascii="Symbol" w:hAnsi="Symbol"/>
      </w:rPr>
    </w:lvl>
    <w:lvl w:ilvl="1" w:tplc="3376AD72">
      <w:start w:val="1"/>
      <w:numFmt w:val="bullet"/>
      <w:lvlText w:val="o"/>
      <w:lvlJc w:val="left"/>
      <w:pPr>
        <w:ind w:left="1800" w:hanging="360"/>
      </w:pPr>
      <w:rPr>
        <w:rFonts w:hint="default" w:ascii="Courier New" w:hAnsi="Courier New"/>
      </w:rPr>
    </w:lvl>
    <w:lvl w:ilvl="2" w:tplc="9C12F31E">
      <w:start w:val="1"/>
      <w:numFmt w:val="bullet"/>
      <w:lvlText w:val="•"/>
      <w:lvlJc w:val="left"/>
      <w:pPr>
        <w:ind w:left="1180" w:hanging="329"/>
      </w:pPr>
      <w:rPr>
        <w:rFonts w:hint="default" w:ascii="Calibri" w:hAnsi="Calibri"/>
      </w:rPr>
    </w:lvl>
    <w:lvl w:ilvl="3" w:tplc="754C6B18">
      <w:start w:val="1"/>
      <w:numFmt w:val="bullet"/>
      <w:lvlText w:val="•"/>
      <w:lvlJc w:val="left"/>
      <w:pPr>
        <w:ind w:left="2275" w:hanging="329"/>
      </w:pPr>
      <w:rPr>
        <w:rFonts w:hint="default" w:ascii="Symbol" w:hAnsi="Symbol"/>
      </w:rPr>
    </w:lvl>
    <w:lvl w:ilvl="4" w:tplc="E778A6CA">
      <w:start w:val="1"/>
      <w:numFmt w:val="bullet"/>
      <w:lvlText w:val="o"/>
      <w:lvlJc w:val="left"/>
      <w:pPr>
        <w:ind w:left="3960" w:hanging="360"/>
      </w:pPr>
      <w:rPr>
        <w:rFonts w:hint="default" w:ascii="Courier New" w:hAnsi="Courier New"/>
      </w:rPr>
    </w:lvl>
    <w:lvl w:ilvl="5" w:tplc="2A4AC7EC">
      <w:start w:val="1"/>
      <w:numFmt w:val="bullet"/>
      <w:lvlText w:val=""/>
      <w:lvlJc w:val="left"/>
      <w:pPr>
        <w:ind w:left="4680" w:hanging="360"/>
      </w:pPr>
      <w:rPr>
        <w:rFonts w:hint="default" w:ascii="Wingdings" w:hAnsi="Wingdings"/>
      </w:rPr>
    </w:lvl>
    <w:lvl w:ilvl="6" w:tplc="2D64D1C2">
      <w:start w:val="1"/>
      <w:numFmt w:val="bullet"/>
      <w:lvlText w:val=""/>
      <w:lvlJc w:val="left"/>
      <w:pPr>
        <w:ind w:left="5400" w:hanging="360"/>
      </w:pPr>
      <w:rPr>
        <w:rFonts w:hint="default" w:ascii="Symbol" w:hAnsi="Symbol"/>
      </w:rPr>
    </w:lvl>
    <w:lvl w:ilvl="7" w:tplc="A0D0B4BA">
      <w:start w:val="1"/>
      <w:numFmt w:val="bullet"/>
      <w:lvlText w:val="o"/>
      <w:lvlJc w:val="left"/>
      <w:pPr>
        <w:ind w:left="6120" w:hanging="360"/>
      </w:pPr>
      <w:rPr>
        <w:rFonts w:hint="default" w:ascii="Courier New" w:hAnsi="Courier New"/>
      </w:rPr>
    </w:lvl>
    <w:lvl w:ilvl="8" w:tplc="E916A3D6">
      <w:start w:val="1"/>
      <w:numFmt w:val="bullet"/>
      <w:lvlText w:val=""/>
      <w:lvlJc w:val="left"/>
      <w:pPr>
        <w:ind w:left="6840" w:hanging="360"/>
      </w:pPr>
      <w:rPr>
        <w:rFonts w:hint="default" w:ascii="Wingdings" w:hAnsi="Wingdings"/>
      </w:rPr>
    </w:lvl>
  </w:abstractNum>
  <w:abstractNum w:abstractNumId="7" w15:restartNumberingAfterBreak="0">
    <w:nsid w:val="22A43060"/>
    <w:multiLevelType w:val="multilevel"/>
    <w:tmpl w:val="08B8DF0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 w15:restartNumberingAfterBreak="0">
    <w:nsid w:val="248A7F43"/>
    <w:multiLevelType w:val="multilevel"/>
    <w:tmpl w:val="00609A7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9" w15:restartNumberingAfterBreak="0">
    <w:nsid w:val="24CA018A"/>
    <w:multiLevelType w:val="multilevel"/>
    <w:tmpl w:val="915CED7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0" w15:restartNumberingAfterBreak="0">
    <w:nsid w:val="29C10AAA"/>
    <w:multiLevelType w:val="multilevel"/>
    <w:tmpl w:val="B232B47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1" w15:restartNumberingAfterBreak="0">
    <w:nsid w:val="338305E4"/>
    <w:multiLevelType w:val="hybridMultilevel"/>
    <w:tmpl w:val="09961708"/>
    <w:lvl w:ilvl="0" w:tplc="05168DB2">
      <w:start w:val="1"/>
      <w:numFmt w:val="bullet"/>
      <w:lvlText w:val=""/>
      <w:lvlJc w:val="left"/>
      <w:pPr>
        <w:ind w:left="720" w:hanging="360"/>
      </w:pPr>
      <w:rPr>
        <w:rFonts w:hint="default" w:ascii="Symbol" w:hAnsi="Symbol"/>
      </w:rPr>
    </w:lvl>
    <w:lvl w:ilvl="1" w:tplc="559257C6">
      <w:start w:val="1"/>
      <w:numFmt w:val="bullet"/>
      <w:lvlText w:val="o"/>
      <w:lvlJc w:val="left"/>
      <w:pPr>
        <w:ind w:left="1440" w:hanging="360"/>
      </w:pPr>
      <w:rPr>
        <w:rFonts w:hint="default" w:ascii="Courier New" w:hAnsi="Courier New"/>
      </w:rPr>
    </w:lvl>
    <w:lvl w:ilvl="2" w:tplc="AFD06C7A">
      <w:start w:val="1"/>
      <w:numFmt w:val="bullet"/>
      <w:lvlText w:val="•"/>
      <w:lvlJc w:val="left"/>
      <w:pPr>
        <w:ind w:left="820" w:hanging="329"/>
      </w:pPr>
      <w:rPr>
        <w:rFonts w:hint="default" w:ascii="Calibri" w:hAnsi="Calibri"/>
      </w:rPr>
    </w:lvl>
    <w:lvl w:ilvl="3" w:tplc="E6609ACE">
      <w:start w:val="1"/>
      <w:numFmt w:val="bullet"/>
      <w:lvlText w:val="•"/>
      <w:lvlJc w:val="left"/>
      <w:pPr>
        <w:ind w:left="1915" w:hanging="329"/>
      </w:pPr>
      <w:rPr>
        <w:rFonts w:hint="default" w:ascii="Symbol" w:hAnsi="Symbol"/>
      </w:rPr>
    </w:lvl>
    <w:lvl w:ilvl="4" w:tplc="4E7A1942">
      <w:start w:val="1"/>
      <w:numFmt w:val="bullet"/>
      <w:lvlText w:val="o"/>
      <w:lvlJc w:val="left"/>
      <w:pPr>
        <w:ind w:left="3600" w:hanging="360"/>
      </w:pPr>
      <w:rPr>
        <w:rFonts w:hint="default" w:ascii="Courier New" w:hAnsi="Courier New"/>
      </w:rPr>
    </w:lvl>
    <w:lvl w:ilvl="5" w:tplc="38B00348">
      <w:start w:val="1"/>
      <w:numFmt w:val="bullet"/>
      <w:lvlText w:val=""/>
      <w:lvlJc w:val="left"/>
      <w:pPr>
        <w:ind w:left="4320" w:hanging="360"/>
      </w:pPr>
      <w:rPr>
        <w:rFonts w:hint="default" w:ascii="Wingdings" w:hAnsi="Wingdings"/>
      </w:rPr>
    </w:lvl>
    <w:lvl w:ilvl="6" w:tplc="5D20EC14">
      <w:start w:val="1"/>
      <w:numFmt w:val="bullet"/>
      <w:lvlText w:val=""/>
      <w:lvlJc w:val="left"/>
      <w:pPr>
        <w:ind w:left="5040" w:hanging="360"/>
      </w:pPr>
      <w:rPr>
        <w:rFonts w:hint="default" w:ascii="Symbol" w:hAnsi="Symbol"/>
      </w:rPr>
    </w:lvl>
    <w:lvl w:ilvl="7" w:tplc="7A688B46">
      <w:start w:val="1"/>
      <w:numFmt w:val="bullet"/>
      <w:lvlText w:val="o"/>
      <w:lvlJc w:val="left"/>
      <w:pPr>
        <w:ind w:left="5760" w:hanging="360"/>
      </w:pPr>
      <w:rPr>
        <w:rFonts w:hint="default" w:ascii="Courier New" w:hAnsi="Courier New"/>
      </w:rPr>
    </w:lvl>
    <w:lvl w:ilvl="8" w:tplc="8196D650">
      <w:start w:val="1"/>
      <w:numFmt w:val="bullet"/>
      <w:lvlText w:val=""/>
      <w:lvlJc w:val="left"/>
      <w:pPr>
        <w:ind w:left="6480" w:hanging="360"/>
      </w:pPr>
      <w:rPr>
        <w:rFonts w:hint="default" w:ascii="Wingdings" w:hAnsi="Wingdings"/>
      </w:rPr>
    </w:lvl>
  </w:abstractNum>
  <w:abstractNum w:abstractNumId="12" w15:restartNumberingAfterBreak="0">
    <w:nsid w:val="365A6C2C"/>
    <w:multiLevelType w:val="multilevel"/>
    <w:tmpl w:val="2B2453F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3" w15:restartNumberingAfterBreak="0">
    <w:nsid w:val="3D2B6DC7"/>
    <w:multiLevelType w:val="multilevel"/>
    <w:tmpl w:val="814CBB4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4" w15:restartNumberingAfterBreak="0">
    <w:nsid w:val="3FEC0F60"/>
    <w:multiLevelType w:val="multilevel"/>
    <w:tmpl w:val="0E0AFD7E"/>
    <w:lvl w:ilvl="0">
      <w:start w:val="1"/>
      <w:numFmt w:val="lowerLetter"/>
      <w:lvlText w:val="%1."/>
      <w:lvlJc w:val="left"/>
      <w:pPr>
        <w:tabs>
          <w:tab w:val="num" w:pos="720"/>
        </w:tabs>
        <w:ind w:left="0" w:hanging="360"/>
      </w:pPr>
    </w:lvl>
    <w:lvl w:ilvl="1" w:tentative="1">
      <w:start w:val="1"/>
      <w:numFmt w:val="lowerLetter"/>
      <w:lvlText w:val="%2."/>
      <w:lvlJc w:val="left"/>
      <w:pPr>
        <w:tabs>
          <w:tab w:val="num" w:pos="1440"/>
        </w:tabs>
        <w:ind w:left="720" w:hanging="360"/>
      </w:pPr>
    </w:lvl>
    <w:lvl w:ilvl="2" w:tentative="1">
      <w:start w:val="1"/>
      <w:numFmt w:val="lowerLetter"/>
      <w:lvlText w:val="%3."/>
      <w:lvlJc w:val="left"/>
      <w:pPr>
        <w:tabs>
          <w:tab w:val="num" w:pos="2160"/>
        </w:tabs>
        <w:ind w:left="1440" w:hanging="360"/>
      </w:pPr>
    </w:lvl>
    <w:lvl w:ilvl="3" w:tentative="1">
      <w:start w:val="1"/>
      <w:numFmt w:val="lowerLetter"/>
      <w:lvlText w:val="%4."/>
      <w:lvlJc w:val="left"/>
      <w:pPr>
        <w:tabs>
          <w:tab w:val="num" w:pos="2880"/>
        </w:tabs>
        <w:ind w:left="2160" w:hanging="360"/>
      </w:pPr>
    </w:lvl>
    <w:lvl w:ilvl="4" w:tentative="1">
      <w:start w:val="1"/>
      <w:numFmt w:val="lowerLetter"/>
      <w:lvlText w:val="%5."/>
      <w:lvlJc w:val="left"/>
      <w:pPr>
        <w:tabs>
          <w:tab w:val="num" w:pos="3600"/>
        </w:tabs>
        <w:ind w:left="2880" w:hanging="360"/>
      </w:pPr>
    </w:lvl>
    <w:lvl w:ilvl="5" w:tentative="1">
      <w:start w:val="1"/>
      <w:numFmt w:val="lowerLetter"/>
      <w:lvlText w:val="%6."/>
      <w:lvlJc w:val="left"/>
      <w:pPr>
        <w:tabs>
          <w:tab w:val="num" w:pos="4320"/>
        </w:tabs>
        <w:ind w:left="3600" w:hanging="360"/>
      </w:pPr>
    </w:lvl>
    <w:lvl w:ilvl="6" w:tentative="1">
      <w:start w:val="1"/>
      <w:numFmt w:val="lowerLetter"/>
      <w:lvlText w:val="%7."/>
      <w:lvlJc w:val="left"/>
      <w:pPr>
        <w:tabs>
          <w:tab w:val="num" w:pos="5040"/>
        </w:tabs>
        <w:ind w:left="4320" w:hanging="360"/>
      </w:pPr>
    </w:lvl>
    <w:lvl w:ilvl="7" w:tentative="1">
      <w:start w:val="1"/>
      <w:numFmt w:val="lowerLetter"/>
      <w:lvlText w:val="%8."/>
      <w:lvlJc w:val="left"/>
      <w:pPr>
        <w:tabs>
          <w:tab w:val="num" w:pos="5760"/>
        </w:tabs>
        <w:ind w:left="5040" w:hanging="360"/>
      </w:pPr>
    </w:lvl>
    <w:lvl w:ilvl="8" w:tentative="1">
      <w:start w:val="1"/>
      <w:numFmt w:val="lowerLetter"/>
      <w:lvlText w:val="%9."/>
      <w:lvlJc w:val="left"/>
      <w:pPr>
        <w:tabs>
          <w:tab w:val="num" w:pos="6480"/>
        </w:tabs>
        <w:ind w:left="5760" w:hanging="360"/>
      </w:pPr>
    </w:lvl>
  </w:abstractNum>
  <w:abstractNum w:abstractNumId="15" w15:restartNumberingAfterBreak="0">
    <w:nsid w:val="4B704438"/>
    <w:multiLevelType w:val="multilevel"/>
    <w:tmpl w:val="D8A4885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6" w15:restartNumberingAfterBreak="0">
    <w:nsid w:val="501453CB"/>
    <w:multiLevelType w:val="multilevel"/>
    <w:tmpl w:val="C11E254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7" w15:restartNumberingAfterBreak="0">
    <w:nsid w:val="5256619F"/>
    <w:multiLevelType w:val="multilevel"/>
    <w:tmpl w:val="9CEC758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8" w15:restartNumberingAfterBreak="0">
    <w:nsid w:val="609B540E"/>
    <w:multiLevelType w:val="multilevel"/>
    <w:tmpl w:val="EB104FA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9" w15:restartNumberingAfterBreak="0">
    <w:nsid w:val="6224421E"/>
    <w:multiLevelType w:val="multilevel"/>
    <w:tmpl w:val="61FC869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0" w15:restartNumberingAfterBreak="0">
    <w:nsid w:val="663F434E"/>
    <w:multiLevelType w:val="multilevel"/>
    <w:tmpl w:val="744E6A9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1" w15:restartNumberingAfterBreak="0">
    <w:nsid w:val="67B5549F"/>
    <w:multiLevelType w:val="multilevel"/>
    <w:tmpl w:val="4536747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2" w15:restartNumberingAfterBreak="0">
    <w:nsid w:val="6AF9ED4F"/>
    <w:multiLevelType w:val="hybridMultilevel"/>
    <w:tmpl w:val="7A8821DE"/>
    <w:lvl w:ilvl="0" w:tplc="820693C4">
      <w:start w:val="1"/>
      <w:numFmt w:val="decimal"/>
      <w:lvlText w:val="(%1)"/>
      <w:lvlJc w:val="left"/>
      <w:pPr>
        <w:ind w:left="360" w:hanging="360"/>
      </w:pPr>
    </w:lvl>
    <w:lvl w:ilvl="1" w:tplc="42F2BC2A">
      <w:start w:val="1"/>
      <w:numFmt w:val="lowerLetter"/>
      <w:lvlText w:val="%2."/>
      <w:lvlJc w:val="left"/>
      <w:pPr>
        <w:ind w:left="1080" w:hanging="360"/>
      </w:pPr>
    </w:lvl>
    <w:lvl w:ilvl="2" w:tplc="4D1A34F4">
      <w:start w:val="1"/>
      <w:numFmt w:val="lowerRoman"/>
      <w:lvlText w:val="%3."/>
      <w:lvlJc w:val="right"/>
      <w:pPr>
        <w:ind w:left="1800" w:hanging="180"/>
      </w:pPr>
    </w:lvl>
    <w:lvl w:ilvl="3" w:tplc="F82C54BE">
      <w:start w:val="1"/>
      <w:numFmt w:val="decimal"/>
      <w:lvlText w:val="%4."/>
      <w:lvlJc w:val="left"/>
      <w:pPr>
        <w:ind w:left="2520" w:hanging="360"/>
      </w:pPr>
    </w:lvl>
    <w:lvl w:ilvl="4" w:tplc="52806134">
      <w:start w:val="1"/>
      <w:numFmt w:val="lowerLetter"/>
      <w:lvlText w:val="%5."/>
      <w:lvlJc w:val="left"/>
      <w:pPr>
        <w:ind w:left="3240" w:hanging="360"/>
      </w:pPr>
    </w:lvl>
    <w:lvl w:ilvl="5" w:tplc="94785730">
      <w:start w:val="1"/>
      <w:numFmt w:val="lowerRoman"/>
      <w:lvlText w:val="%6."/>
      <w:lvlJc w:val="right"/>
      <w:pPr>
        <w:ind w:left="3960" w:hanging="180"/>
      </w:pPr>
    </w:lvl>
    <w:lvl w:ilvl="6" w:tplc="1F80EBEE">
      <w:start w:val="1"/>
      <w:numFmt w:val="decimal"/>
      <w:lvlText w:val="%7."/>
      <w:lvlJc w:val="left"/>
      <w:pPr>
        <w:ind w:left="4680" w:hanging="360"/>
      </w:pPr>
    </w:lvl>
    <w:lvl w:ilvl="7" w:tplc="B7523390">
      <w:start w:val="1"/>
      <w:numFmt w:val="lowerLetter"/>
      <w:lvlText w:val="%8."/>
      <w:lvlJc w:val="left"/>
      <w:pPr>
        <w:ind w:left="5400" w:hanging="360"/>
      </w:pPr>
    </w:lvl>
    <w:lvl w:ilvl="8" w:tplc="A26CAC4E">
      <w:start w:val="1"/>
      <w:numFmt w:val="lowerRoman"/>
      <w:lvlText w:val="%9."/>
      <w:lvlJc w:val="right"/>
      <w:pPr>
        <w:ind w:left="6120" w:hanging="180"/>
      </w:pPr>
    </w:lvl>
  </w:abstractNum>
  <w:abstractNum w:abstractNumId="23" w15:restartNumberingAfterBreak="0">
    <w:nsid w:val="6E21418A"/>
    <w:multiLevelType w:val="multilevel"/>
    <w:tmpl w:val="13C2490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4" w15:restartNumberingAfterBreak="0">
    <w:nsid w:val="6FC52D0B"/>
    <w:multiLevelType w:val="multilevel"/>
    <w:tmpl w:val="93D8335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5" w15:restartNumberingAfterBreak="0">
    <w:nsid w:val="729A58D8"/>
    <w:multiLevelType w:val="multilevel"/>
    <w:tmpl w:val="56E4C46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6" w15:restartNumberingAfterBreak="0">
    <w:nsid w:val="74E71C24"/>
    <w:multiLevelType w:val="multilevel"/>
    <w:tmpl w:val="7D92CB2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7" w15:restartNumberingAfterBreak="0">
    <w:nsid w:val="758844F2"/>
    <w:multiLevelType w:val="multilevel"/>
    <w:tmpl w:val="77B4BD9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8" w15:restartNumberingAfterBreak="0">
    <w:nsid w:val="7BD02341"/>
    <w:multiLevelType w:val="multilevel"/>
    <w:tmpl w:val="5E8690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56924757">
    <w:abstractNumId w:val="6"/>
  </w:num>
  <w:num w:numId="2" w16cid:durableId="103501108">
    <w:abstractNumId w:val="11"/>
  </w:num>
  <w:num w:numId="3" w16cid:durableId="374819230">
    <w:abstractNumId w:val="22"/>
  </w:num>
  <w:num w:numId="4" w16cid:durableId="1654261640">
    <w:abstractNumId w:val="12"/>
  </w:num>
  <w:num w:numId="5" w16cid:durableId="1290012139">
    <w:abstractNumId w:val="14"/>
  </w:num>
  <w:num w:numId="6" w16cid:durableId="2013028237">
    <w:abstractNumId w:val="2"/>
  </w:num>
  <w:num w:numId="7" w16cid:durableId="402147133">
    <w:abstractNumId w:val="19"/>
  </w:num>
  <w:num w:numId="8" w16cid:durableId="4023443">
    <w:abstractNumId w:val="17"/>
  </w:num>
  <w:num w:numId="9" w16cid:durableId="63648996">
    <w:abstractNumId w:val="3"/>
  </w:num>
  <w:num w:numId="10" w16cid:durableId="470899801">
    <w:abstractNumId w:val="27"/>
  </w:num>
  <w:num w:numId="11" w16cid:durableId="1061177472">
    <w:abstractNumId w:val="10"/>
  </w:num>
  <w:num w:numId="12" w16cid:durableId="1251623032">
    <w:abstractNumId w:val="5"/>
  </w:num>
  <w:num w:numId="13" w16cid:durableId="1050572415">
    <w:abstractNumId w:val="7"/>
  </w:num>
  <w:num w:numId="14" w16cid:durableId="1540165793">
    <w:abstractNumId w:val="21"/>
  </w:num>
  <w:num w:numId="15" w16cid:durableId="1321009425">
    <w:abstractNumId w:val="26"/>
  </w:num>
  <w:num w:numId="16" w16cid:durableId="729112393">
    <w:abstractNumId w:val="24"/>
  </w:num>
  <w:num w:numId="17" w16cid:durableId="1522166412">
    <w:abstractNumId w:val="1"/>
  </w:num>
  <w:num w:numId="18" w16cid:durableId="2045977622">
    <w:abstractNumId w:val="20"/>
  </w:num>
  <w:num w:numId="19" w16cid:durableId="677467236">
    <w:abstractNumId w:val="23"/>
  </w:num>
  <w:num w:numId="20" w16cid:durableId="1896040626">
    <w:abstractNumId w:val="8"/>
  </w:num>
  <w:num w:numId="21" w16cid:durableId="113865861">
    <w:abstractNumId w:val="25"/>
  </w:num>
  <w:num w:numId="22" w16cid:durableId="1290356521">
    <w:abstractNumId w:val="13"/>
  </w:num>
  <w:num w:numId="23" w16cid:durableId="1912546819">
    <w:abstractNumId w:val="9"/>
  </w:num>
  <w:num w:numId="24" w16cid:durableId="1895267193">
    <w:abstractNumId w:val="0"/>
  </w:num>
  <w:num w:numId="25" w16cid:durableId="723136619">
    <w:abstractNumId w:val="18"/>
  </w:num>
  <w:num w:numId="26" w16cid:durableId="529879567">
    <w:abstractNumId w:val="16"/>
  </w:num>
  <w:num w:numId="27" w16cid:durableId="1853762643">
    <w:abstractNumId w:val="15"/>
  </w:num>
  <w:num w:numId="28" w16cid:durableId="1331449384">
    <w:abstractNumId w:val="28"/>
  </w:num>
  <w:num w:numId="29" w16cid:durableId="141107918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6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04E1"/>
    <w:rsid w:val="002A54CC"/>
    <w:rsid w:val="003349F7"/>
    <w:rsid w:val="00463C48"/>
    <w:rsid w:val="007A4D01"/>
    <w:rsid w:val="007E7F23"/>
    <w:rsid w:val="00924116"/>
    <w:rsid w:val="00A80DE1"/>
    <w:rsid w:val="00B204E1"/>
    <w:rsid w:val="00B41B5A"/>
    <w:rsid w:val="00BF3909"/>
    <w:rsid w:val="00DA4774"/>
    <w:rsid w:val="00EE60A0"/>
    <w:rsid w:val="00EE71E2"/>
    <w:rsid w:val="00F014FF"/>
    <w:rsid w:val="00F70359"/>
    <w:rsid w:val="00FA6809"/>
    <w:rsid w:val="00FC03A7"/>
    <w:rsid w:val="03DC9762"/>
    <w:rsid w:val="04058CD9"/>
    <w:rsid w:val="068E9261"/>
    <w:rsid w:val="079845C3"/>
    <w:rsid w:val="08BD5337"/>
    <w:rsid w:val="0A4E8260"/>
    <w:rsid w:val="0BF83C01"/>
    <w:rsid w:val="0C0AD7F6"/>
    <w:rsid w:val="0C2B3046"/>
    <w:rsid w:val="0D37F1A6"/>
    <w:rsid w:val="0D77B879"/>
    <w:rsid w:val="108D1707"/>
    <w:rsid w:val="11111512"/>
    <w:rsid w:val="137B9710"/>
    <w:rsid w:val="13A46EB1"/>
    <w:rsid w:val="13CBA716"/>
    <w:rsid w:val="16E5E745"/>
    <w:rsid w:val="1792D371"/>
    <w:rsid w:val="18032494"/>
    <w:rsid w:val="19A89519"/>
    <w:rsid w:val="1C1F7C3E"/>
    <w:rsid w:val="22165431"/>
    <w:rsid w:val="242D5622"/>
    <w:rsid w:val="2471AABD"/>
    <w:rsid w:val="25866766"/>
    <w:rsid w:val="261EC3EF"/>
    <w:rsid w:val="29731669"/>
    <w:rsid w:val="2CE18DC2"/>
    <w:rsid w:val="2D92B0A7"/>
    <w:rsid w:val="30CB0B76"/>
    <w:rsid w:val="34D453F3"/>
    <w:rsid w:val="3A0D2BEC"/>
    <w:rsid w:val="3AF805F9"/>
    <w:rsid w:val="3B9BB85E"/>
    <w:rsid w:val="3E35BD73"/>
    <w:rsid w:val="3EA828AA"/>
    <w:rsid w:val="42C1BCAA"/>
    <w:rsid w:val="431A1144"/>
    <w:rsid w:val="43E4DF2D"/>
    <w:rsid w:val="442DF63A"/>
    <w:rsid w:val="44904904"/>
    <w:rsid w:val="450803EA"/>
    <w:rsid w:val="46D8853A"/>
    <w:rsid w:val="4705CB5E"/>
    <w:rsid w:val="4747BF13"/>
    <w:rsid w:val="482F7DE4"/>
    <w:rsid w:val="4C18097B"/>
    <w:rsid w:val="4CF9A3E8"/>
    <w:rsid w:val="4D9B6195"/>
    <w:rsid w:val="4E81D35A"/>
    <w:rsid w:val="4EE457AC"/>
    <w:rsid w:val="4F226430"/>
    <w:rsid w:val="50B164C4"/>
    <w:rsid w:val="538A0129"/>
    <w:rsid w:val="5414E5EC"/>
    <w:rsid w:val="554B05B3"/>
    <w:rsid w:val="565197E0"/>
    <w:rsid w:val="589D991C"/>
    <w:rsid w:val="5C5491D6"/>
    <w:rsid w:val="603AE460"/>
    <w:rsid w:val="61F625C1"/>
    <w:rsid w:val="68BAF890"/>
    <w:rsid w:val="69AB2B72"/>
    <w:rsid w:val="6A535A0A"/>
    <w:rsid w:val="712A225B"/>
    <w:rsid w:val="7249ED80"/>
    <w:rsid w:val="727502B7"/>
    <w:rsid w:val="7391FC52"/>
    <w:rsid w:val="73EC749A"/>
    <w:rsid w:val="765DCC2A"/>
    <w:rsid w:val="78DAABA1"/>
    <w:rsid w:val="7945467B"/>
    <w:rsid w:val="79A846E1"/>
    <w:rsid w:val="7F7F8DB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25F8EE"/>
  <w15:chartTrackingRefBased/>
  <w15:docId w15:val="{DB0471A8-D6F2-4A86-94DE-FF0545CA5D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B204E1"/>
  </w:style>
  <w:style w:type="paragraph" w:styleId="Heading1">
    <w:name w:val="heading 1"/>
    <w:basedOn w:val="Normal"/>
    <w:next w:val="Normal"/>
    <w:link w:val="Heading1Char"/>
    <w:uiPriority w:val="9"/>
    <w:qFormat/>
    <w:rsid w:val="00B204E1"/>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204E1"/>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204E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204E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204E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204E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204E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204E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204E1"/>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B204E1"/>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B204E1"/>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B204E1"/>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B204E1"/>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B204E1"/>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B204E1"/>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B204E1"/>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B204E1"/>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B204E1"/>
    <w:rPr>
      <w:rFonts w:eastAsiaTheme="majorEastAsia" w:cstheme="majorBidi"/>
      <w:color w:val="272727" w:themeColor="text1" w:themeTint="D8"/>
    </w:rPr>
  </w:style>
  <w:style w:type="paragraph" w:styleId="Title">
    <w:name w:val="Title"/>
    <w:basedOn w:val="Normal"/>
    <w:next w:val="Normal"/>
    <w:link w:val="TitleChar"/>
    <w:uiPriority w:val="10"/>
    <w:qFormat/>
    <w:rsid w:val="00B204E1"/>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B204E1"/>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B204E1"/>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B204E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204E1"/>
    <w:pPr>
      <w:spacing w:before="160"/>
      <w:jc w:val="center"/>
    </w:pPr>
    <w:rPr>
      <w:i/>
      <w:iCs/>
      <w:color w:val="404040" w:themeColor="text1" w:themeTint="BF"/>
    </w:rPr>
  </w:style>
  <w:style w:type="character" w:styleId="QuoteChar" w:customStyle="1">
    <w:name w:val="Quote Char"/>
    <w:basedOn w:val="DefaultParagraphFont"/>
    <w:link w:val="Quote"/>
    <w:uiPriority w:val="29"/>
    <w:rsid w:val="00B204E1"/>
    <w:rPr>
      <w:i/>
      <w:iCs/>
      <w:color w:val="404040" w:themeColor="text1" w:themeTint="BF"/>
    </w:rPr>
  </w:style>
  <w:style w:type="paragraph" w:styleId="ListParagraph">
    <w:name w:val="List Paragraph"/>
    <w:basedOn w:val="Normal"/>
    <w:uiPriority w:val="34"/>
    <w:qFormat/>
    <w:rsid w:val="00B204E1"/>
    <w:pPr>
      <w:ind w:left="720"/>
      <w:contextualSpacing/>
    </w:pPr>
  </w:style>
  <w:style w:type="character" w:styleId="IntenseEmphasis">
    <w:name w:val="Intense Emphasis"/>
    <w:basedOn w:val="DefaultParagraphFont"/>
    <w:uiPriority w:val="21"/>
    <w:qFormat/>
    <w:rsid w:val="00B204E1"/>
    <w:rPr>
      <w:i/>
      <w:iCs/>
      <w:color w:val="0F4761" w:themeColor="accent1" w:themeShade="BF"/>
    </w:rPr>
  </w:style>
  <w:style w:type="paragraph" w:styleId="IntenseQuote">
    <w:name w:val="Intense Quote"/>
    <w:basedOn w:val="Normal"/>
    <w:next w:val="Normal"/>
    <w:link w:val="IntenseQuoteChar"/>
    <w:uiPriority w:val="30"/>
    <w:qFormat/>
    <w:rsid w:val="00B204E1"/>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B204E1"/>
    <w:rPr>
      <w:i/>
      <w:iCs/>
      <w:color w:val="0F4761" w:themeColor="accent1" w:themeShade="BF"/>
    </w:rPr>
  </w:style>
  <w:style w:type="character" w:styleId="IntenseReference">
    <w:name w:val="Intense Reference"/>
    <w:basedOn w:val="DefaultParagraphFont"/>
    <w:uiPriority w:val="32"/>
    <w:qFormat/>
    <w:rsid w:val="00B204E1"/>
    <w:rPr>
      <w:b/>
      <w:bCs/>
      <w:smallCaps/>
      <w:color w:val="0F4761" w:themeColor="accent1" w:themeShade="BF"/>
      <w:spacing w:val="5"/>
    </w:rPr>
  </w:style>
  <w:style w:type="character" w:styleId="Hyperlink">
    <w:name w:val="Hyperlink"/>
    <w:basedOn w:val="DefaultParagraphFont"/>
    <w:uiPriority w:val="99"/>
    <w:unhideWhenUsed/>
    <w:rsid w:val="00B204E1"/>
    <w:rPr>
      <w:color w:val="467886" w:themeColor="hyperlink"/>
      <w:u w:val="single"/>
    </w:rPr>
  </w:style>
  <w:style w:type="character" w:styleId="UnresolvedMention1" w:customStyle="1">
    <w:name w:val="Unresolved Mention1"/>
    <w:basedOn w:val="DefaultParagraphFont"/>
    <w:uiPriority w:val="99"/>
    <w:semiHidden/>
    <w:unhideWhenUsed/>
    <w:rsid w:val="00B204E1"/>
    <w:rPr>
      <w:color w:val="605E5C"/>
      <w:shd w:val="clear" w:color="auto" w:fill="E1DFDD"/>
    </w:rPr>
  </w:style>
  <w:style w:type="table" w:styleId="TableGrid">
    <w:name w:val="Table Grid"/>
    <w:basedOn w:val="TableNormal"/>
    <w:uiPriority w:val="39"/>
    <w:rsid w:val="00B204E1"/>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FollowedHyperlink">
    <w:name w:val="FollowedHyperlink"/>
    <w:basedOn w:val="DefaultParagraphFont"/>
    <w:uiPriority w:val="99"/>
    <w:semiHidden/>
    <w:unhideWhenUsed/>
    <w:rsid w:val="00DA4774"/>
    <w:rPr>
      <w:color w:val="96607D" w:themeColor="followedHyperlink"/>
      <w:u w:val="single"/>
    </w:rPr>
  </w:style>
  <w:style w:type="paragraph" w:styleId="NormalWeb">
    <w:name w:val="Normal (Web)"/>
    <w:basedOn w:val="Normal"/>
    <w:uiPriority w:val="99"/>
    <w:semiHidden/>
    <w:unhideWhenUsed/>
    <w:rsid w:val="00DA4774"/>
    <w:pPr>
      <w:spacing w:before="100" w:beforeAutospacing="1" w:after="100" w:afterAutospacing="1" w:line="240" w:lineRule="auto"/>
    </w:pPr>
    <w:rPr>
      <w:rFonts w:ascii="Times New Roman" w:hAnsi="Times New Roman" w:eastAsia="Times New Roman" w:cs="Times New Roman"/>
      <w:kern w:val="0"/>
      <w:lang w:eastAsia="zh-CN"/>
      <w14:ligatures w14:val="none"/>
    </w:rPr>
  </w:style>
  <w:style w:type="character" w:styleId="UnresolvedMention">
    <w:name w:val="Unresolved Mention"/>
    <w:basedOn w:val="DefaultParagraphFont"/>
    <w:uiPriority w:val="99"/>
    <w:semiHidden/>
    <w:unhideWhenUsed/>
    <w:rsid w:val="00DA477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079482">
      <w:bodyDiv w:val="1"/>
      <w:marLeft w:val="0"/>
      <w:marRight w:val="0"/>
      <w:marTop w:val="0"/>
      <w:marBottom w:val="0"/>
      <w:divBdr>
        <w:top w:val="none" w:sz="0" w:space="0" w:color="auto"/>
        <w:left w:val="none" w:sz="0" w:space="0" w:color="auto"/>
        <w:bottom w:val="none" w:sz="0" w:space="0" w:color="auto"/>
        <w:right w:val="none" w:sz="0" w:space="0" w:color="auto"/>
      </w:divBdr>
    </w:div>
    <w:div w:id="110976624">
      <w:bodyDiv w:val="1"/>
      <w:marLeft w:val="0"/>
      <w:marRight w:val="0"/>
      <w:marTop w:val="0"/>
      <w:marBottom w:val="0"/>
      <w:divBdr>
        <w:top w:val="none" w:sz="0" w:space="0" w:color="auto"/>
        <w:left w:val="none" w:sz="0" w:space="0" w:color="auto"/>
        <w:bottom w:val="none" w:sz="0" w:space="0" w:color="auto"/>
        <w:right w:val="none" w:sz="0" w:space="0" w:color="auto"/>
      </w:divBdr>
      <w:divsChild>
        <w:div w:id="1773939840">
          <w:marLeft w:val="0"/>
          <w:marRight w:val="0"/>
          <w:marTop w:val="0"/>
          <w:marBottom w:val="0"/>
          <w:divBdr>
            <w:top w:val="none" w:sz="0" w:space="0" w:color="auto"/>
            <w:left w:val="none" w:sz="0" w:space="0" w:color="auto"/>
            <w:bottom w:val="none" w:sz="0" w:space="0" w:color="auto"/>
            <w:right w:val="none" w:sz="0" w:space="0" w:color="auto"/>
          </w:divBdr>
          <w:divsChild>
            <w:div w:id="343820424">
              <w:marLeft w:val="0"/>
              <w:marRight w:val="0"/>
              <w:marTop w:val="0"/>
              <w:marBottom w:val="0"/>
              <w:divBdr>
                <w:top w:val="none" w:sz="0" w:space="0" w:color="auto"/>
                <w:left w:val="none" w:sz="0" w:space="0" w:color="auto"/>
                <w:bottom w:val="none" w:sz="0" w:space="0" w:color="auto"/>
                <w:right w:val="none" w:sz="0" w:space="0" w:color="auto"/>
              </w:divBdr>
              <w:divsChild>
                <w:div w:id="105544503">
                  <w:marLeft w:val="0"/>
                  <w:marRight w:val="0"/>
                  <w:marTop w:val="0"/>
                  <w:marBottom w:val="0"/>
                  <w:divBdr>
                    <w:top w:val="none" w:sz="0" w:space="0" w:color="auto"/>
                    <w:left w:val="none" w:sz="0" w:space="0" w:color="auto"/>
                    <w:bottom w:val="none" w:sz="0" w:space="0" w:color="auto"/>
                    <w:right w:val="none" w:sz="0" w:space="0" w:color="auto"/>
                  </w:divBdr>
                  <w:divsChild>
                    <w:div w:id="1116098646">
                      <w:marLeft w:val="-225"/>
                      <w:marRight w:val="-225"/>
                      <w:marTop w:val="0"/>
                      <w:marBottom w:val="0"/>
                      <w:divBdr>
                        <w:top w:val="none" w:sz="0" w:space="0" w:color="auto"/>
                        <w:left w:val="none" w:sz="0" w:space="0" w:color="auto"/>
                        <w:bottom w:val="none" w:sz="0" w:space="0" w:color="auto"/>
                        <w:right w:val="none" w:sz="0" w:space="0" w:color="auto"/>
                      </w:divBdr>
                      <w:divsChild>
                        <w:div w:id="545994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014532">
              <w:marLeft w:val="0"/>
              <w:marRight w:val="0"/>
              <w:marTop w:val="0"/>
              <w:marBottom w:val="0"/>
              <w:divBdr>
                <w:top w:val="none" w:sz="0" w:space="0" w:color="auto"/>
                <w:left w:val="none" w:sz="0" w:space="0" w:color="auto"/>
                <w:bottom w:val="none" w:sz="0" w:space="0" w:color="auto"/>
                <w:right w:val="none" w:sz="0" w:space="0" w:color="auto"/>
              </w:divBdr>
              <w:divsChild>
                <w:div w:id="27342268">
                  <w:marLeft w:val="-225"/>
                  <w:marRight w:val="-225"/>
                  <w:marTop w:val="0"/>
                  <w:marBottom w:val="0"/>
                  <w:divBdr>
                    <w:top w:val="none" w:sz="0" w:space="0" w:color="auto"/>
                    <w:left w:val="none" w:sz="0" w:space="0" w:color="auto"/>
                    <w:bottom w:val="none" w:sz="0" w:space="0" w:color="auto"/>
                    <w:right w:val="none" w:sz="0" w:space="0" w:color="auto"/>
                  </w:divBdr>
                  <w:divsChild>
                    <w:div w:id="457065897">
                      <w:marLeft w:val="0"/>
                      <w:marRight w:val="0"/>
                      <w:marTop w:val="0"/>
                      <w:marBottom w:val="0"/>
                      <w:divBdr>
                        <w:top w:val="none" w:sz="0" w:space="0" w:color="auto"/>
                        <w:left w:val="none" w:sz="0" w:space="0" w:color="auto"/>
                        <w:bottom w:val="none" w:sz="0" w:space="0" w:color="auto"/>
                        <w:right w:val="none" w:sz="0" w:space="0" w:color="auto"/>
                      </w:divBdr>
                      <w:divsChild>
                        <w:div w:id="605696267">
                          <w:marLeft w:val="0"/>
                          <w:marRight w:val="0"/>
                          <w:marTop w:val="600"/>
                          <w:marBottom w:val="0"/>
                          <w:divBdr>
                            <w:top w:val="none" w:sz="0" w:space="0" w:color="auto"/>
                            <w:left w:val="none" w:sz="0" w:space="0" w:color="auto"/>
                            <w:bottom w:val="none" w:sz="0" w:space="0" w:color="auto"/>
                            <w:right w:val="none" w:sz="0" w:space="0" w:color="auto"/>
                          </w:divBdr>
                        </w:div>
                      </w:divsChild>
                    </w:div>
                  </w:divsChild>
                </w:div>
              </w:divsChild>
            </w:div>
          </w:divsChild>
        </w:div>
        <w:div w:id="60103812">
          <w:marLeft w:val="0"/>
          <w:marRight w:val="0"/>
          <w:marTop w:val="0"/>
          <w:marBottom w:val="0"/>
          <w:divBdr>
            <w:top w:val="none" w:sz="0" w:space="0" w:color="auto"/>
            <w:left w:val="none" w:sz="0" w:space="0" w:color="auto"/>
            <w:bottom w:val="none" w:sz="0" w:space="0" w:color="auto"/>
            <w:right w:val="none" w:sz="0" w:space="0" w:color="auto"/>
          </w:divBdr>
          <w:divsChild>
            <w:div w:id="1825196214">
              <w:marLeft w:val="0"/>
              <w:marRight w:val="0"/>
              <w:marTop w:val="0"/>
              <w:marBottom w:val="0"/>
              <w:divBdr>
                <w:top w:val="none" w:sz="0" w:space="0" w:color="auto"/>
                <w:left w:val="none" w:sz="0" w:space="0" w:color="auto"/>
                <w:bottom w:val="none" w:sz="0" w:space="0" w:color="auto"/>
                <w:right w:val="none" w:sz="0" w:space="0" w:color="auto"/>
              </w:divBdr>
              <w:divsChild>
                <w:div w:id="1697534744">
                  <w:marLeft w:val="-225"/>
                  <w:marRight w:val="-225"/>
                  <w:marTop w:val="0"/>
                  <w:marBottom w:val="0"/>
                  <w:divBdr>
                    <w:top w:val="none" w:sz="0" w:space="0" w:color="auto"/>
                    <w:left w:val="none" w:sz="0" w:space="0" w:color="auto"/>
                    <w:bottom w:val="none" w:sz="0" w:space="0" w:color="auto"/>
                    <w:right w:val="none" w:sz="0" w:space="0" w:color="auto"/>
                  </w:divBdr>
                  <w:divsChild>
                    <w:div w:id="1157839975">
                      <w:marLeft w:val="0"/>
                      <w:marRight w:val="0"/>
                      <w:marTop w:val="0"/>
                      <w:marBottom w:val="0"/>
                      <w:divBdr>
                        <w:top w:val="none" w:sz="0" w:space="0" w:color="auto"/>
                        <w:left w:val="none" w:sz="0" w:space="0" w:color="auto"/>
                        <w:bottom w:val="none" w:sz="0" w:space="0" w:color="auto"/>
                        <w:right w:val="none" w:sz="0" w:space="0" w:color="auto"/>
                      </w:divBdr>
                      <w:divsChild>
                        <w:div w:id="764813766">
                          <w:marLeft w:val="0"/>
                          <w:marRight w:val="0"/>
                          <w:marTop w:val="0"/>
                          <w:marBottom w:val="0"/>
                          <w:divBdr>
                            <w:top w:val="none" w:sz="0" w:space="0" w:color="auto"/>
                            <w:left w:val="none" w:sz="0" w:space="0" w:color="auto"/>
                            <w:bottom w:val="none" w:sz="0" w:space="0" w:color="auto"/>
                            <w:right w:val="none" w:sz="0" w:space="0" w:color="auto"/>
                          </w:divBdr>
                          <w:divsChild>
                            <w:div w:id="2009212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4879338">
      <w:bodyDiv w:val="1"/>
      <w:marLeft w:val="0"/>
      <w:marRight w:val="0"/>
      <w:marTop w:val="0"/>
      <w:marBottom w:val="0"/>
      <w:divBdr>
        <w:top w:val="none" w:sz="0" w:space="0" w:color="auto"/>
        <w:left w:val="none" w:sz="0" w:space="0" w:color="auto"/>
        <w:bottom w:val="none" w:sz="0" w:space="0" w:color="auto"/>
        <w:right w:val="none" w:sz="0" w:space="0" w:color="auto"/>
      </w:divBdr>
    </w:div>
    <w:div w:id="286397802">
      <w:bodyDiv w:val="1"/>
      <w:marLeft w:val="0"/>
      <w:marRight w:val="0"/>
      <w:marTop w:val="0"/>
      <w:marBottom w:val="0"/>
      <w:divBdr>
        <w:top w:val="none" w:sz="0" w:space="0" w:color="auto"/>
        <w:left w:val="none" w:sz="0" w:space="0" w:color="auto"/>
        <w:bottom w:val="none" w:sz="0" w:space="0" w:color="auto"/>
        <w:right w:val="none" w:sz="0" w:space="0" w:color="auto"/>
      </w:divBdr>
    </w:div>
    <w:div w:id="332727437">
      <w:bodyDiv w:val="1"/>
      <w:marLeft w:val="0"/>
      <w:marRight w:val="0"/>
      <w:marTop w:val="0"/>
      <w:marBottom w:val="0"/>
      <w:divBdr>
        <w:top w:val="none" w:sz="0" w:space="0" w:color="auto"/>
        <w:left w:val="none" w:sz="0" w:space="0" w:color="auto"/>
        <w:bottom w:val="none" w:sz="0" w:space="0" w:color="auto"/>
        <w:right w:val="none" w:sz="0" w:space="0" w:color="auto"/>
      </w:divBdr>
    </w:div>
    <w:div w:id="363558432">
      <w:bodyDiv w:val="1"/>
      <w:marLeft w:val="0"/>
      <w:marRight w:val="0"/>
      <w:marTop w:val="0"/>
      <w:marBottom w:val="0"/>
      <w:divBdr>
        <w:top w:val="none" w:sz="0" w:space="0" w:color="auto"/>
        <w:left w:val="none" w:sz="0" w:space="0" w:color="auto"/>
        <w:bottom w:val="none" w:sz="0" w:space="0" w:color="auto"/>
        <w:right w:val="none" w:sz="0" w:space="0" w:color="auto"/>
      </w:divBdr>
    </w:div>
    <w:div w:id="396442656">
      <w:bodyDiv w:val="1"/>
      <w:marLeft w:val="0"/>
      <w:marRight w:val="0"/>
      <w:marTop w:val="0"/>
      <w:marBottom w:val="0"/>
      <w:divBdr>
        <w:top w:val="none" w:sz="0" w:space="0" w:color="auto"/>
        <w:left w:val="none" w:sz="0" w:space="0" w:color="auto"/>
        <w:bottom w:val="none" w:sz="0" w:space="0" w:color="auto"/>
        <w:right w:val="none" w:sz="0" w:space="0" w:color="auto"/>
      </w:divBdr>
    </w:div>
    <w:div w:id="447624233">
      <w:bodyDiv w:val="1"/>
      <w:marLeft w:val="0"/>
      <w:marRight w:val="0"/>
      <w:marTop w:val="0"/>
      <w:marBottom w:val="0"/>
      <w:divBdr>
        <w:top w:val="none" w:sz="0" w:space="0" w:color="auto"/>
        <w:left w:val="none" w:sz="0" w:space="0" w:color="auto"/>
        <w:bottom w:val="none" w:sz="0" w:space="0" w:color="auto"/>
        <w:right w:val="none" w:sz="0" w:space="0" w:color="auto"/>
      </w:divBdr>
    </w:div>
    <w:div w:id="475102869">
      <w:bodyDiv w:val="1"/>
      <w:marLeft w:val="0"/>
      <w:marRight w:val="0"/>
      <w:marTop w:val="0"/>
      <w:marBottom w:val="0"/>
      <w:divBdr>
        <w:top w:val="none" w:sz="0" w:space="0" w:color="auto"/>
        <w:left w:val="none" w:sz="0" w:space="0" w:color="auto"/>
        <w:bottom w:val="none" w:sz="0" w:space="0" w:color="auto"/>
        <w:right w:val="none" w:sz="0" w:space="0" w:color="auto"/>
      </w:divBdr>
    </w:div>
    <w:div w:id="491338095">
      <w:bodyDiv w:val="1"/>
      <w:marLeft w:val="0"/>
      <w:marRight w:val="0"/>
      <w:marTop w:val="0"/>
      <w:marBottom w:val="0"/>
      <w:divBdr>
        <w:top w:val="none" w:sz="0" w:space="0" w:color="auto"/>
        <w:left w:val="none" w:sz="0" w:space="0" w:color="auto"/>
        <w:bottom w:val="none" w:sz="0" w:space="0" w:color="auto"/>
        <w:right w:val="none" w:sz="0" w:space="0" w:color="auto"/>
      </w:divBdr>
    </w:div>
    <w:div w:id="501701920">
      <w:bodyDiv w:val="1"/>
      <w:marLeft w:val="0"/>
      <w:marRight w:val="0"/>
      <w:marTop w:val="0"/>
      <w:marBottom w:val="0"/>
      <w:divBdr>
        <w:top w:val="none" w:sz="0" w:space="0" w:color="auto"/>
        <w:left w:val="none" w:sz="0" w:space="0" w:color="auto"/>
        <w:bottom w:val="none" w:sz="0" w:space="0" w:color="auto"/>
        <w:right w:val="none" w:sz="0" w:space="0" w:color="auto"/>
      </w:divBdr>
    </w:div>
    <w:div w:id="533544361">
      <w:bodyDiv w:val="1"/>
      <w:marLeft w:val="0"/>
      <w:marRight w:val="0"/>
      <w:marTop w:val="0"/>
      <w:marBottom w:val="0"/>
      <w:divBdr>
        <w:top w:val="none" w:sz="0" w:space="0" w:color="auto"/>
        <w:left w:val="none" w:sz="0" w:space="0" w:color="auto"/>
        <w:bottom w:val="none" w:sz="0" w:space="0" w:color="auto"/>
        <w:right w:val="none" w:sz="0" w:space="0" w:color="auto"/>
      </w:divBdr>
    </w:div>
    <w:div w:id="672608882">
      <w:bodyDiv w:val="1"/>
      <w:marLeft w:val="0"/>
      <w:marRight w:val="0"/>
      <w:marTop w:val="0"/>
      <w:marBottom w:val="0"/>
      <w:divBdr>
        <w:top w:val="none" w:sz="0" w:space="0" w:color="auto"/>
        <w:left w:val="none" w:sz="0" w:space="0" w:color="auto"/>
        <w:bottom w:val="none" w:sz="0" w:space="0" w:color="auto"/>
        <w:right w:val="none" w:sz="0" w:space="0" w:color="auto"/>
      </w:divBdr>
    </w:div>
    <w:div w:id="858087728">
      <w:bodyDiv w:val="1"/>
      <w:marLeft w:val="0"/>
      <w:marRight w:val="0"/>
      <w:marTop w:val="0"/>
      <w:marBottom w:val="0"/>
      <w:divBdr>
        <w:top w:val="none" w:sz="0" w:space="0" w:color="auto"/>
        <w:left w:val="none" w:sz="0" w:space="0" w:color="auto"/>
        <w:bottom w:val="none" w:sz="0" w:space="0" w:color="auto"/>
        <w:right w:val="none" w:sz="0" w:space="0" w:color="auto"/>
      </w:divBdr>
    </w:div>
    <w:div w:id="891039872">
      <w:bodyDiv w:val="1"/>
      <w:marLeft w:val="0"/>
      <w:marRight w:val="0"/>
      <w:marTop w:val="0"/>
      <w:marBottom w:val="0"/>
      <w:divBdr>
        <w:top w:val="none" w:sz="0" w:space="0" w:color="auto"/>
        <w:left w:val="none" w:sz="0" w:space="0" w:color="auto"/>
        <w:bottom w:val="none" w:sz="0" w:space="0" w:color="auto"/>
        <w:right w:val="none" w:sz="0" w:space="0" w:color="auto"/>
      </w:divBdr>
    </w:div>
    <w:div w:id="904875329">
      <w:bodyDiv w:val="1"/>
      <w:marLeft w:val="0"/>
      <w:marRight w:val="0"/>
      <w:marTop w:val="0"/>
      <w:marBottom w:val="0"/>
      <w:divBdr>
        <w:top w:val="none" w:sz="0" w:space="0" w:color="auto"/>
        <w:left w:val="none" w:sz="0" w:space="0" w:color="auto"/>
        <w:bottom w:val="none" w:sz="0" w:space="0" w:color="auto"/>
        <w:right w:val="none" w:sz="0" w:space="0" w:color="auto"/>
      </w:divBdr>
    </w:div>
    <w:div w:id="944653724">
      <w:bodyDiv w:val="1"/>
      <w:marLeft w:val="0"/>
      <w:marRight w:val="0"/>
      <w:marTop w:val="0"/>
      <w:marBottom w:val="0"/>
      <w:divBdr>
        <w:top w:val="none" w:sz="0" w:space="0" w:color="auto"/>
        <w:left w:val="none" w:sz="0" w:space="0" w:color="auto"/>
        <w:bottom w:val="none" w:sz="0" w:space="0" w:color="auto"/>
        <w:right w:val="none" w:sz="0" w:space="0" w:color="auto"/>
      </w:divBdr>
    </w:div>
    <w:div w:id="944920333">
      <w:bodyDiv w:val="1"/>
      <w:marLeft w:val="0"/>
      <w:marRight w:val="0"/>
      <w:marTop w:val="0"/>
      <w:marBottom w:val="0"/>
      <w:divBdr>
        <w:top w:val="none" w:sz="0" w:space="0" w:color="auto"/>
        <w:left w:val="none" w:sz="0" w:space="0" w:color="auto"/>
        <w:bottom w:val="none" w:sz="0" w:space="0" w:color="auto"/>
        <w:right w:val="none" w:sz="0" w:space="0" w:color="auto"/>
      </w:divBdr>
    </w:div>
    <w:div w:id="1011686884">
      <w:bodyDiv w:val="1"/>
      <w:marLeft w:val="0"/>
      <w:marRight w:val="0"/>
      <w:marTop w:val="0"/>
      <w:marBottom w:val="0"/>
      <w:divBdr>
        <w:top w:val="none" w:sz="0" w:space="0" w:color="auto"/>
        <w:left w:val="none" w:sz="0" w:space="0" w:color="auto"/>
        <w:bottom w:val="none" w:sz="0" w:space="0" w:color="auto"/>
        <w:right w:val="none" w:sz="0" w:space="0" w:color="auto"/>
      </w:divBdr>
    </w:div>
    <w:div w:id="1134060309">
      <w:bodyDiv w:val="1"/>
      <w:marLeft w:val="0"/>
      <w:marRight w:val="0"/>
      <w:marTop w:val="0"/>
      <w:marBottom w:val="0"/>
      <w:divBdr>
        <w:top w:val="none" w:sz="0" w:space="0" w:color="auto"/>
        <w:left w:val="none" w:sz="0" w:space="0" w:color="auto"/>
        <w:bottom w:val="none" w:sz="0" w:space="0" w:color="auto"/>
        <w:right w:val="none" w:sz="0" w:space="0" w:color="auto"/>
      </w:divBdr>
    </w:div>
    <w:div w:id="1186870864">
      <w:bodyDiv w:val="1"/>
      <w:marLeft w:val="0"/>
      <w:marRight w:val="0"/>
      <w:marTop w:val="0"/>
      <w:marBottom w:val="0"/>
      <w:divBdr>
        <w:top w:val="none" w:sz="0" w:space="0" w:color="auto"/>
        <w:left w:val="none" w:sz="0" w:space="0" w:color="auto"/>
        <w:bottom w:val="none" w:sz="0" w:space="0" w:color="auto"/>
        <w:right w:val="none" w:sz="0" w:space="0" w:color="auto"/>
      </w:divBdr>
    </w:div>
    <w:div w:id="1211454774">
      <w:bodyDiv w:val="1"/>
      <w:marLeft w:val="0"/>
      <w:marRight w:val="0"/>
      <w:marTop w:val="0"/>
      <w:marBottom w:val="0"/>
      <w:divBdr>
        <w:top w:val="none" w:sz="0" w:space="0" w:color="auto"/>
        <w:left w:val="none" w:sz="0" w:space="0" w:color="auto"/>
        <w:bottom w:val="none" w:sz="0" w:space="0" w:color="auto"/>
        <w:right w:val="none" w:sz="0" w:space="0" w:color="auto"/>
      </w:divBdr>
    </w:div>
    <w:div w:id="1293242826">
      <w:bodyDiv w:val="1"/>
      <w:marLeft w:val="0"/>
      <w:marRight w:val="0"/>
      <w:marTop w:val="0"/>
      <w:marBottom w:val="0"/>
      <w:divBdr>
        <w:top w:val="none" w:sz="0" w:space="0" w:color="auto"/>
        <w:left w:val="none" w:sz="0" w:space="0" w:color="auto"/>
        <w:bottom w:val="none" w:sz="0" w:space="0" w:color="auto"/>
        <w:right w:val="none" w:sz="0" w:space="0" w:color="auto"/>
      </w:divBdr>
      <w:divsChild>
        <w:div w:id="1122959379">
          <w:marLeft w:val="0"/>
          <w:marRight w:val="0"/>
          <w:marTop w:val="0"/>
          <w:marBottom w:val="0"/>
          <w:divBdr>
            <w:top w:val="none" w:sz="0" w:space="0" w:color="auto"/>
            <w:left w:val="none" w:sz="0" w:space="0" w:color="auto"/>
            <w:bottom w:val="none" w:sz="0" w:space="0" w:color="auto"/>
            <w:right w:val="none" w:sz="0" w:space="0" w:color="auto"/>
          </w:divBdr>
          <w:divsChild>
            <w:div w:id="399332637">
              <w:marLeft w:val="0"/>
              <w:marRight w:val="0"/>
              <w:marTop w:val="0"/>
              <w:marBottom w:val="0"/>
              <w:divBdr>
                <w:top w:val="none" w:sz="0" w:space="0" w:color="auto"/>
                <w:left w:val="none" w:sz="0" w:space="0" w:color="auto"/>
                <w:bottom w:val="none" w:sz="0" w:space="0" w:color="auto"/>
                <w:right w:val="none" w:sz="0" w:space="0" w:color="auto"/>
              </w:divBdr>
              <w:divsChild>
                <w:div w:id="848718052">
                  <w:marLeft w:val="0"/>
                  <w:marRight w:val="0"/>
                  <w:marTop w:val="0"/>
                  <w:marBottom w:val="0"/>
                  <w:divBdr>
                    <w:top w:val="none" w:sz="0" w:space="0" w:color="auto"/>
                    <w:left w:val="none" w:sz="0" w:space="0" w:color="auto"/>
                    <w:bottom w:val="none" w:sz="0" w:space="0" w:color="auto"/>
                    <w:right w:val="none" w:sz="0" w:space="0" w:color="auto"/>
                  </w:divBdr>
                  <w:divsChild>
                    <w:div w:id="1985113744">
                      <w:marLeft w:val="-225"/>
                      <w:marRight w:val="-225"/>
                      <w:marTop w:val="0"/>
                      <w:marBottom w:val="0"/>
                      <w:divBdr>
                        <w:top w:val="none" w:sz="0" w:space="0" w:color="auto"/>
                        <w:left w:val="none" w:sz="0" w:space="0" w:color="auto"/>
                        <w:bottom w:val="none" w:sz="0" w:space="0" w:color="auto"/>
                        <w:right w:val="none" w:sz="0" w:space="0" w:color="auto"/>
                      </w:divBdr>
                      <w:divsChild>
                        <w:div w:id="454643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5948510">
              <w:marLeft w:val="0"/>
              <w:marRight w:val="0"/>
              <w:marTop w:val="0"/>
              <w:marBottom w:val="0"/>
              <w:divBdr>
                <w:top w:val="none" w:sz="0" w:space="0" w:color="auto"/>
                <w:left w:val="none" w:sz="0" w:space="0" w:color="auto"/>
                <w:bottom w:val="none" w:sz="0" w:space="0" w:color="auto"/>
                <w:right w:val="none" w:sz="0" w:space="0" w:color="auto"/>
              </w:divBdr>
              <w:divsChild>
                <w:div w:id="1158115265">
                  <w:marLeft w:val="-225"/>
                  <w:marRight w:val="-225"/>
                  <w:marTop w:val="0"/>
                  <w:marBottom w:val="0"/>
                  <w:divBdr>
                    <w:top w:val="none" w:sz="0" w:space="0" w:color="auto"/>
                    <w:left w:val="none" w:sz="0" w:space="0" w:color="auto"/>
                    <w:bottom w:val="none" w:sz="0" w:space="0" w:color="auto"/>
                    <w:right w:val="none" w:sz="0" w:space="0" w:color="auto"/>
                  </w:divBdr>
                  <w:divsChild>
                    <w:div w:id="1425955861">
                      <w:marLeft w:val="0"/>
                      <w:marRight w:val="0"/>
                      <w:marTop w:val="0"/>
                      <w:marBottom w:val="0"/>
                      <w:divBdr>
                        <w:top w:val="none" w:sz="0" w:space="0" w:color="auto"/>
                        <w:left w:val="none" w:sz="0" w:space="0" w:color="auto"/>
                        <w:bottom w:val="none" w:sz="0" w:space="0" w:color="auto"/>
                        <w:right w:val="none" w:sz="0" w:space="0" w:color="auto"/>
                      </w:divBdr>
                      <w:divsChild>
                        <w:div w:id="2112359163">
                          <w:marLeft w:val="0"/>
                          <w:marRight w:val="0"/>
                          <w:marTop w:val="600"/>
                          <w:marBottom w:val="0"/>
                          <w:divBdr>
                            <w:top w:val="none" w:sz="0" w:space="0" w:color="auto"/>
                            <w:left w:val="none" w:sz="0" w:space="0" w:color="auto"/>
                            <w:bottom w:val="none" w:sz="0" w:space="0" w:color="auto"/>
                            <w:right w:val="none" w:sz="0" w:space="0" w:color="auto"/>
                          </w:divBdr>
                        </w:div>
                      </w:divsChild>
                    </w:div>
                  </w:divsChild>
                </w:div>
              </w:divsChild>
            </w:div>
          </w:divsChild>
        </w:div>
        <w:div w:id="1589000531">
          <w:marLeft w:val="0"/>
          <w:marRight w:val="0"/>
          <w:marTop w:val="0"/>
          <w:marBottom w:val="0"/>
          <w:divBdr>
            <w:top w:val="none" w:sz="0" w:space="0" w:color="auto"/>
            <w:left w:val="none" w:sz="0" w:space="0" w:color="auto"/>
            <w:bottom w:val="none" w:sz="0" w:space="0" w:color="auto"/>
            <w:right w:val="none" w:sz="0" w:space="0" w:color="auto"/>
          </w:divBdr>
          <w:divsChild>
            <w:div w:id="1574125548">
              <w:marLeft w:val="0"/>
              <w:marRight w:val="0"/>
              <w:marTop w:val="0"/>
              <w:marBottom w:val="0"/>
              <w:divBdr>
                <w:top w:val="none" w:sz="0" w:space="0" w:color="auto"/>
                <w:left w:val="none" w:sz="0" w:space="0" w:color="auto"/>
                <w:bottom w:val="none" w:sz="0" w:space="0" w:color="auto"/>
                <w:right w:val="none" w:sz="0" w:space="0" w:color="auto"/>
              </w:divBdr>
              <w:divsChild>
                <w:div w:id="897672702">
                  <w:marLeft w:val="-225"/>
                  <w:marRight w:val="-225"/>
                  <w:marTop w:val="0"/>
                  <w:marBottom w:val="0"/>
                  <w:divBdr>
                    <w:top w:val="none" w:sz="0" w:space="0" w:color="auto"/>
                    <w:left w:val="none" w:sz="0" w:space="0" w:color="auto"/>
                    <w:bottom w:val="none" w:sz="0" w:space="0" w:color="auto"/>
                    <w:right w:val="none" w:sz="0" w:space="0" w:color="auto"/>
                  </w:divBdr>
                  <w:divsChild>
                    <w:div w:id="993997472">
                      <w:marLeft w:val="0"/>
                      <w:marRight w:val="0"/>
                      <w:marTop w:val="0"/>
                      <w:marBottom w:val="0"/>
                      <w:divBdr>
                        <w:top w:val="none" w:sz="0" w:space="0" w:color="auto"/>
                        <w:left w:val="none" w:sz="0" w:space="0" w:color="auto"/>
                        <w:bottom w:val="none" w:sz="0" w:space="0" w:color="auto"/>
                        <w:right w:val="none" w:sz="0" w:space="0" w:color="auto"/>
                      </w:divBdr>
                      <w:divsChild>
                        <w:div w:id="88622647">
                          <w:marLeft w:val="0"/>
                          <w:marRight w:val="0"/>
                          <w:marTop w:val="0"/>
                          <w:marBottom w:val="0"/>
                          <w:divBdr>
                            <w:top w:val="none" w:sz="0" w:space="0" w:color="auto"/>
                            <w:left w:val="none" w:sz="0" w:space="0" w:color="auto"/>
                            <w:bottom w:val="none" w:sz="0" w:space="0" w:color="auto"/>
                            <w:right w:val="none" w:sz="0" w:space="0" w:color="auto"/>
                          </w:divBdr>
                          <w:divsChild>
                            <w:div w:id="760492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6563829">
      <w:bodyDiv w:val="1"/>
      <w:marLeft w:val="0"/>
      <w:marRight w:val="0"/>
      <w:marTop w:val="0"/>
      <w:marBottom w:val="0"/>
      <w:divBdr>
        <w:top w:val="none" w:sz="0" w:space="0" w:color="auto"/>
        <w:left w:val="none" w:sz="0" w:space="0" w:color="auto"/>
        <w:bottom w:val="none" w:sz="0" w:space="0" w:color="auto"/>
        <w:right w:val="none" w:sz="0" w:space="0" w:color="auto"/>
      </w:divBdr>
    </w:div>
    <w:div w:id="1403798857">
      <w:bodyDiv w:val="1"/>
      <w:marLeft w:val="0"/>
      <w:marRight w:val="0"/>
      <w:marTop w:val="0"/>
      <w:marBottom w:val="0"/>
      <w:divBdr>
        <w:top w:val="none" w:sz="0" w:space="0" w:color="auto"/>
        <w:left w:val="none" w:sz="0" w:space="0" w:color="auto"/>
        <w:bottom w:val="none" w:sz="0" w:space="0" w:color="auto"/>
        <w:right w:val="none" w:sz="0" w:space="0" w:color="auto"/>
      </w:divBdr>
    </w:div>
    <w:div w:id="1512135445">
      <w:bodyDiv w:val="1"/>
      <w:marLeft w:val="0"/>
      <w:marRight w:val="0"/>
      <w:marTop w:val="0"/>
      <w:marBottom w:val="0"/>
      <w:divBdr>
        <w:top w:val="none" w:sz="0" w:space="0" w:color="auto"/>
        <w:left w:val="none" w:sz="0" w:space="0" w:color="auto"/>
        <w:bottom w:val="none" w:sz="0" w:space="0" w:color="auto"/>
        <w:right w:val="none" w:sz="0" w:space="0" w:color="auto"/>
      </w:divBdr>
    </w:div>
    <w:div w:id="1548953103">
      <w:bodyDiv w:val="1"/>
      <w:marLeft w:val="0"/>
      <w:marRight w:val="0"/>
      <w:marTop w:val="0"/>
      <w:marBottom w:val="0"/>
      <w:divBdr>
        <w:top w:val="none" w:sz="0" w:space="0" w:color="auto"/>
        <w:left w:val="none" w:sz="0" w:space="0" w:color="auto"/>
        <w:bottom w:val="none" w:sz="0" w:space="0" w:color="auto"/>
        <w:right w:val="none" w:sz="0" w:space="0" w:color="auto"/>
      </w:divBdr>
    </w:div>
    <w:div w:id="1669627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wscuc.org/institutions/university-of-la-verne/" TargetMode="External" Id="rId8" /><Relationship Type="http://schemas.openxmlformats.org/officeDocument/2006/relationships/image" Target="media/image1.png" Id="rId13" /><Relationship Type="http://schemas.openxmlformats.org/officeDocument/2006/relationships/hyperlink" Target="https://education.laverne.edu/" TargetMode="External" Id="rId18" /><Relationship Type="http://schemas.openxmlformats.org/officeDocument/2006/relationships/customXml" Target="../customXml/item3.xml" Id="rId3" /><Relationship Type="http://schemas.openxmlformats.org/officeDocument/2006/relationships/hyperlink" Target="https://laverne.edu/registrar/transcripts/" TargetMode="External" Id="rId21" /><Relationship Type="http://schemas.openxmlformats.org/officeDocument/2006/relationships/webSettings" Target="webSettings.xml" Id="rId7" /><Relationship Type="http://schemas.openxmlformats.org/officeDocument/2006/relationships/hyperlink" Target="https://catalog.laverne.edu/rights-responsibilities/" TargetMode="External" Id="rId12" /><Relationship Type="http://schemas.openxmlformats.org/officeDocument/2006/relationships/hyperlink" Target="https://leginfo.legislature.ca.gov/faces/codes_displaySection.xhtml?sectionNum=44227.5.&amp;lawCode=EDC" TargetMode="External" Id="rId17" /><Relationship Type="http://schemas.openxmlformats.org/officeDocument/2006/relationships/customXml" Target="../customXml/item2.xml" Id="rId2" /><Relationship Type="http://schemas.openxmlformats.org/officeDocument/2006/relationships/hyperlink" Target="https://catalog.laverne.edu/" TargetMode="External" Id="rId20"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https://catalog.laverne.edu/lafetra-college-education/graduate/" TargetMode="External" Id="rId11" /><Relationship Type="http://schemas.openxmlformats.org/officeDocument/2006/relationships/theme" Target="theme/theme1.xml" Id="rId24" /><Relationship Type="http://schemas.openxmlformats.org/officeDocument/2006/relationships/styles" Target="styles.xml" Id="rId5" /><Relationship Type="http://schemas.openxmlformats.org/officeDocument/2006/relationships/fontTable" Target="fontTable.xml" Id="rId23" /><Relationship Type="http://schemas.openxmlformats.org/officeDocument/2006/relationships/hyperlink" Target="https://catalog.laverne.edu/" TargetMode="External" Id="rId10" /><Relationship Type="http://schemas.openxmlformats.org/officeDocument/2006/relationships/hyperlink" Target="https://education.laverne.edu/credential-programs/" TargetMode="External" Id="rId19" /><Relationship Type="http://schemas.openxmlformats.org/officeDocument/2006/relationships/numbering" Target="numbering.xml" Id="rId4" /><Relationship Type="http://schemas.openxmlformats.org/officeDocument/2006/relationships/hyperlink" Target="https://wascsenior.app.box.com/s/xr34httgwfs8hakq6lfrewup595bkhjk" TargetMode="External" Id="rId9" /><Relationship Type="http://schemas.openxmlformats.org/officeDocument/2006/relationships/hyperlink" Target="https://catalog.laverne.edu/rights-responsibilities/" TargetMode="External" Id="rId14" /><Relationship Type="http://schemas.openxmlformats.org/officeDocument/2006/relationships/hyperlink" Target="https://laverne.edu/registrar/academic-records-retention-policy/" TargetMode="External" Id="rId22" /><Relationship Type="http://schemas.openxmlformats.org/officeDocument/2006/relationships/hyperlink" Target="https://education.laverne.edu/accreditation/wp-content/uploads/sites/2/2026/03/LFCE-Org-Chart.pdf" TargetMode="External" Id="Rc102c80eb248437f" /><Relationship Type="http://schemas.openxmlformats.org/officeDocument/2006/relationships/hyperlink" Target="https://education.laverne.edu/accreditation/wp-content/uploads/sites/2/2026/03/LFCE-Org-Chart.pdf" TargetMode="External" Id="Rf795aafa6dd042ce" /><Relationship Type="http://schemas.openxmlformats.org/officeDocument/2006/relationships/hyperlink" Target="https://catalog.laverne.edu/rights-responsibilities/" TargetMode="External" Id="R47fc1309407d4002" /><Relationship Type="http://schemas.openxmlformats.org/officeDocument/2006/relationships/hyperlink" Target="https://laverne.edu/student-affairs/links/" TargetMode="External" Id="R51fc53ac8a874942" /><Relationship Type="http://schemas.openxmlformats.org/officeDocument/2006/relationships/image" Target="/media/image3.png" Id="rId1923441119" /><Relationship Type="http://schemas.openxmlformats.org/officeDocument/2006/relationships/hyperlink" Target="https://education.laverne.edu/accreditation/wp-content/uploads/sites/2/2026/03/Student-Grievance-Form.pdf" TargetMode="External" Id="Rdc166b5f8a534339" /><Relationship Type="http://schemas.openxmlformats.org/officeDocument/2006/relationships/hyperlink" Target="https://education.laverne.edu/accreditation/wp-content/uploads/sites/2/2026/03/Reporting-Procedures-for-Student-Concerns-Complaints-or-Grievances.pdf" TargetMode="External" Id="Rc9f0d693a19844f2" /><Relationship Type="http://schemas.openxmlformats.org/officeDocument/2006/relationships/hyperlink" Target="https://education.laverne.edu/accreditation/wp-content/uploads/sites/2/2026/03/Assurances-Letter-2026-Haque-Signed-by-M.H.-3.25.26.pdf" TargetMode="External" Id="R09a1897df20d4e75" /><Relationship Type="http://schemas.openxmlformats.org/officeDocument/2006/relationships/hyperlink" Target="https://education.laverne.edu/accreditation/wp-content/uploads/sites/2/2026/03/Assurances-Letter-2026-Haque-Signed-by-M.H.-3.25.26.pdf" TargetMode="External" Id="R22075a5afab04512" /><Relationship Type="http://schemas.openxmlformats.org/officeDocument/2006/relationships/hyperlink" Target="https://education.laverne.edu/accreditation/wp-content/uploads/sites/2/2026/03/Assurances-Letter-2026-Haque-Signed-by-M.H.-3.25.26.pdf" TargetMode="External" Id="R1add55d214dd4778" /><Relationship Type="http://schemas.openxmlformats.org/officeDocument/2006/relationships/hyperlink" Target="https://education.laverne.edu/accreditation/wp-content/uploads/sites/2/2026/03/Assurances-Letter-2026-Haque-Signed-by-M.H.-3.25.26.pdf" TargetMode="External" Id="Rc084bf7c16d24703" /><Relationship Type="http://schemas.openxmlformats.org/officeDocument/2006/relationships/hyperlink" Target="https://education.laverne.edu/accreditation/wp-content/uploads/sites/2/2026/03/Assurances-Letter-2026-Haque-Signed-by-M.H.-3.25.26.pdf" TargetMode="External" Id="Re35e8f91187c44ff" /><Relationship Type="http://schemas.openxmlformats.org/officeDocument/2006/relationships/hyperlink" Target="https://education.laverne.edu/accreditation/wp-content/uploads/sites/2/2026/03/Faculty-Participation-in-PK-12-Settings-1.pdf" TargetMode="External" Id="R5adc820c5e304fa7" /><Relationship Type="http://schemas.openxmlformats.org/officeDocument/2006/relationships/hyperlink" Target="https://education.laverne.edu/accreditation/wp-content/uploads/sites/2/2026/03/Assurances-Letter-2026-Haque-Signed-by-M.H.-3.25.26.pdf" TargetMode="External" Id="R60ae464fad034dc6" /><Relationship Type="http://schemas.openxmlformats.org/officeDocument/2006/relationships/hyperlink" Target="https://education.laverne.edu/accreditation/wp-content/uploads/sites/2/2026/03/Assurances-Letter-2026-Haque-Signed-by-M.H.-3.25.26.pdf" TargetMode="External" Id="R5bf8b43742e44d76"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97951738F0BAC4CA2E24639FA10E9E4" ma:contentTypeVersion="17" ma:contentTypeDescription="Create a new document." ma:contentTypeScope="" ma:versionID="872c95f15c5363ed4da322869e02a348">
  <xsd:schema xmlns:xsd="http://www.w3.org/2001/XMLSchema" xmlns:xs="http://www.w3.org/2001/XMLSchema" xmlns:p="http://schemas.microsoft.com/office/2006/metadata/properties" xmlns:ns2="a2f96d3b-cb8b-4f4d-ac33-26810f8c517d" xmlns:ns3="c9910f72-d640-465f-b81e-bd7a79a8dc1f" targetNamespace="http://schemas.microsoft.com/office/2006/metadata/properties" ma:root="true" ma:fieldsID="ad65673e77fe9188c33bace94a3e5aea" ns2:_="" ns3:_="">
    <xsd:import namespace="a2f96d3b-cb8b-4f4d-ac33-26810f8c517d"/>
    <xsd:import namespace="c9910f72-d640-465f-b81e-bd7a79a8dc1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MediaServiceObjectDetectorVersions" minOccurs="0"/>
                <xsd:element ref="ns2:MediaServiceSearchPropertie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2f96d3b-cb8b-4f4d-ac33-26810f8c517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7d4466e2-4270-42b4-a2d1-6e0c16fc278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9910f72-d640-465f-b81e-bd7a79a8dc1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e937fad3-4153-454c-99ca-a50f1cb418a7}" ma:internalName="TaxCatchAll" ma:showField="CatchAllData" ma:web="c9910f72-d640-465f-b81e-bd7a79a8dc1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c9910f72-d640-465f-b81e-bd7a79a8dc1f" xsi:nil="true"/>
    <lcf76f155ced4ddcb4097134ff3c332f xmlns="a2f96d3b-cb8b-4f4d-ac33-26810f8c517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1C2A4F3-266C-4C49-ABA5-23C04F1680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2f96d3b-cb8b-4f4d-ac33-26810f8c517d"/>
    <ds:schemaRef ds:uri="c9910f72-d640-465f-b81e-bd7a79a8dc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179EB2F-2565-4FAD-AE63-0FC5C0948379}">
  <ds:schemaRefs>
    <ds:schemaRef ds:uri="http://schemas.microsoft.com/sharepoint/v3/contenttype/forms"/>
  </ds:schemaRefs>
</ds:datastoreItem>
</file>

<file path=customXml/itemProps3.xml><?xml version="1.0" encoding="utf-8"?>
<ds:datastoreItem xmlns:ds="http://schemas.openxmlformats.org/officeDocument/2006/customXml" ds:itemID="{257169BB-CF23-4617-A096-0A85BF187D07}">
  <ds:schemaRefs>
    <ds:schemaRef ds:uri="http://schemas.microsoft.com/office/2006/metadata/properties"/>
    <ds:schemaRef ds:uri="http://schemas.microsoft.com/office/infopath/2007/PartnerControls"/>
    <ds:schemaRef ds:uri="c9910f72-d640-465f-b81e-bd7a79a8dc1f"/>
    <ds:schemaRef ds:uri="a2f96d3b-cb8b-4f4d-ac33-26810f8c517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 Johnson</dc:creator>
  <cp:keywords/>
  <dc:description/>
  <cp:lastModifiedBy>Juli Johnson</cp:lastModifiedBy>
  <cp:revision>5</cp:revision>
  <dcterms:created xsi:type="dcterms:W3CDTF">2026-02-05T23:27:00Z</dcterms:created>
  <dcterms:modified xsi:type="dcterms:W3CDTF">2026-03-25T21:58:21Z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0x010100997951738F0BAC4CA2E24639FA10E9E4</vt:lpwstr>
  </property>
  <property fmtid="{D5CDD505-2E9C-101B-9397-08002B2CF9AE}" pid="3" name="MediaServiceImageTags">
    <vt:lpwstr/>
  </property>
</Properties>
</file>